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1FD" w:rsidRPr="00EB1761" w:rsidRDefault="000211FD" w:rsidP="000211FD">
      <w:pPr>
        <w:suppressAutoHyphens/>
        <w:ind w:left="142" w:right="873"/>
        <w:jc w:val="center"/>
        <w:rPr>
          <w:b/>
          <w:sz w:val="28"/>
          <w:szCs w:val="28"/>
          <w:u w:val="single"/>
          <w:lang w:eastAsia="ar-SA"/>
        </w:rPr>
      </w:pPr>
      <w:bookmarkStart w:id="0" w:name="_GoBack"/>
      <w:bookmarkEnd w:id="0"/>
      <w:r w:rsidRPr="00EB1761">
        <w:rPr>
          <w:b/>
          <w:sz w:val="28"/>
          <w:szCs w:val="28"/>
          <w:u w:val="single"/>
          <w:lang w:eastAsia="ar-SA"/>
        </w:rPr>
        <w:t>NOTA INTEGRATIVA AL BILANCIO CHIUSO AL 31 DICEMBRE 201</w:t>
      </w:r>
      <w:r w:rsidR="00AE09A1">
        <w:rPr>
          <w:b/>
          <w:sz w:val="28"/>
          <w:szCs w:val="28"/>
          <w:u w:val="single"/>
          <w:lang w:eastAsia="ar-SA"/>
        </w:rPr>
        <w:t>5</w:t>
      </w:r>
    </w:p>
    <w:p w:rsidR="000211FD" w:rsidRPr="008A337E" w:rsidRDefault="000211FD" w:rsidP="000211FD">
      <w:pPr>
        <w:widowControl w:val="0"/>
        <w:tabs>
          <w:tab w:val="left" w:pos="8080"/>
        </w:tabs>
        <w:suppressAutoHyphens/>
        <w:ind w:right="873"/>
        <w:rPr>
          <w:b/>
          <w:sz w:val="28"/>
          <w:szCs w:val="28"/>
          <w:lang w:eastAsia="ar-SA"/>
        </w:rPr>
      </w:pPr>
      <w:r w:rsidRPr="008A337E">
        <w:rPr>
          <w:b/>
          <w:sz w:val="28"/>
          <w:szCs w:val="28"/>
          <w:lang w:eastAsia="ar-SA"/>
        </w:rPr>
        <w:t>Premessa</w:t>
      </w:r>
    </w:p>
    <w:p w:rsidR="002F4C0C" w:rsidRDefault="000211FD" w:rsidP="008A337E">
      <w:pPr>
        <w:widowControl w:val="0"/>
        <w:tabs>
          <w:tab w:val="left" w:pos="8080"/>
        </w:tabs>
        <w:suppressAutoHyphens/>
        <w:ind w:right="425" w:firstLine="708"/>
        <w:jc w:val="both"/>
        <w:rPr>
          <w:sz w:val="28"/>
          <w:szCs w:val="28"/>
          <w:lang w:eastAsia="ar-SA"/>
        </w:rPr>
      </w:pPr>
      <w:r w:rsidRPr="008A337E">
        <w:rPr>
          <w:sz w:val="28"/>
          <w:szCs w:val="28"/>
          <w:lang w:eastAsia="ar-SA"/>
        </w:rPr>
        <w:t xml:space="preserve">La società ha  come  oggetto la gestione in </w:t>
      </w:r>
      <w:proofErr w:type="spellStart"/>
      <w:r w:rsidRPr="008A337E">
        <w:rPr>
          <w:sz w:val="28"/>
          <w:szCs w:val="28"/>
          <w:lang w:eastAsia="ar-SA"/>
        </w:rPr>
        <w:t>house</w:t>
      </w:r>
      <w:proofErr w:type="spellEnd"/>
      <w:r w:rsidRPr="008A337E">
        <w:rPr>
          <w:sz w:val="28"/>
          <w:szCs w:val="28"/>
          <w:lang w:eastAsia="ar-SA"/>
        </w:rPr>
        <w:t xml:space="preserve"> dei servizi pubblici locali del Comune di Bellizzi (SA), </w:t>
      </w:r>
      <w:r w:rsidR="002F4C0C">
        <w:rPr>
          <w:sz w:val="28"/>
          <w:szCs w:val="28"/>
          <w:lang w:eastAsia="ar-SA"/>
        </w:rPr>
        <w:t>riconducibili ai seguenti servizi:</w:t>
      </w:r>
    </w:p>
    <w:p w:rsidR="002F4C0C" w:rsidRPr="008C3030" w:rsidRDefault="002F4C0C" w:rsidP="002F4C0C">
      <w:pPr>
        <w:pStyle w:val="Paragrafoelenco"/>
        <w:numPr>
          <w:ilvl w:val="0"/>
          <w:numId w:val="1"/>
        </w:numPr>
        <w:jc w:val="both"/>
        <w:rPr>
          <w:i/>
        </w:rPr>
      </w:pPr>
      <w:r w:rsidRPr="008C3030">
        <w:rPr>
          <w:i/>
        </w:rPr>
        <w:t>ristrutturazione controllante</w:t>
      </w:r>
      <w:r w:rsidR="00206126">
        <w:rPr>
          <w:i/>
        </w:rPr>
        <w:t>,</w:t>
      </w:r>
    </w:p>
    <w:p w:rsidR="002F4C0C" w:rsidRPr="008C3030" w:rsidRDefault="002F4C0C" w:rsidP="002F4C0C">
      <w:pPr>
        <w:pStyle w:val="Paragrafoelenco"/>
        <w:numPr>
          <w:ilvl w:val="0"/>
          <w:numId w:val="1"/>
        </w:numPr>
        <w:jc w:val="both"/>
        <w:rPr>
          <w:i/>
        </w:rPr>
      </w:pPr>
      <w:r w:rsidRPr="008C3030">
        <w:rPr>
          <w:i/>
        </w:rPr>
        <w:t>Servizio Parcheggi e PUT</w:t>
      </w:r>
      <w:r w:rsidR="00206126">
        <w:rPr>
          <w:i/>
        </w:rPr>
        <w:t>,</w:t>
      </w:r>
    </w:p>
    <w:p w:rsidR="002F4C0C" w:rsidRPr="008C3030" w:rsidRDefault="002F4C0C" w:rsidP="002F4C0C">
      <w:pPr>
        <w:pStyle w:val="Paragrafoelenco"/>
        <w:numPr>
          <w:ilvl w:val="0"/>
          <w:numId w:val="1"/>
        </w:numPr>
        <w:jc w:val="both"/>
        <w:rPr>
          <w:i/>
        </w:rPr>
      </w:pPr>
      <w:r w:rsidRPr="008C3030">
        <w:rPr>
          <w:i/>
        </w:rPr>
        <w:t>servizio mensa</w:t>
      </w:r>
      <w:r w:rsidR="00206126">
        <w:rPr>
          <w:i/>
        </w:rPr>
        <w:t>,</w:t>
      </w:r>
    </w:p>
    <w:p w:rsidR="002F4C0C" w:rsidRPr="008C3030" w:rsidRDefault="002F4C0C" w:rsidP="002F4C0C">
      <w:pPr>
        <w:pStyle w:val="Paragrafoelenco"/>
        <w:numPr>
          <w:ilvl w:val="0"/>
          <w:numId w:val="1"/>
        </w:numPr>
        <w:jc w:val="both"/>
        <w:rPr>
          <w:i/>
        </w:rPr>
      </w:pPr>
      <w:r w:rsidRPr="008C3030">
        <w:rPr>
          <w:i/>
        </w:rPr>
        <w:t>servizio trasporti alunni</w:t>
      </w:r>
      <w:r w:rsidR="00206126">
        <w:rPr>
          <w:i/>
        </w:rPr>
        <w:t>,</w:t>
      </w:r>
    </w:p>
    <w:p w:rsidR="002F4C0C" w:rsidRPr="008C3030" w:rsidRDefault="002F4C0C" w:rsidP="002F4C0C">
      <w:pPr>
        <w:pStyle w:val="Paragrafoelenco"/>
        <w:numPr>
          <w:ilvl w:val="0"/>
          <w:numId w:val="1"/>
        </w:numPr>
        <w:jc w:val="both"/>
        <w:rPr>
          <w:i/>
        </w:rPr>
      </w:pPr>
      <w:r w:rsidRPr="008C3030">
        <w:rPr>
          <w:i/>
        </w:rPr>
        <w:t>trasporto alunni ordinario e straordinario</w:t>
      </w:r>
      <w:r w:rsidR="00206126">
        <w:rPr>
          <w:i/>
        </w:rPr>
        <w:t>,</w:t>
      </w:r>
    </w:p>
    <w:p w:rsidR="002F4C0C" w:rsidRPr="008C3030" w:rsidRDefault="002F4C0C" w:rsidP="002F4C0C">
      <w:pPr>
        <w:pStyle w:val="Paragrafoelenco"/>
        <w:numPr>
          <w:ilvl w:val="0"/>
          <w:numId w:val="1"/>
        </w:numPr>
        <w:jc w:val="both"/>
        <w:rPr>
          <w:i/>
        </w:rPr>
      </w:pPr>
      <w:r w:rsidRPr="008C3030">
        <w:rPr>
          <w:i/>
        </w:rPr>
        <w:t>servizio pulizia immobili comunali</w:t>
      </w:r>
      <w:r w:rsidR="00206126">
        <w:rPr>
          <w:i/>
        </w:rPr>
        <w:t>,</w:t>
      </w:r>
    </w:p>
    <w:p w:rsidR="002F4C0C" w:rsidRDefault="002F4C0C" w:rsidP="002F4C0C">
      <w:pPr>
        <w:pStyle w:val="Paragrafoelenco"/>
        <w:numPr>
          <w:ilvl w:val="0"/>
          <w:numId w:val="1"/>
        </w:numPr>
        <w:jc w:val="both"/>
        <w:rPr>
          <w:i/>
        </w:rPr>
      </w:pPr>
      <w:r w:rsidRPr="008C3030">
        <w:rPr>
          <w:i/>
        </w:rPr>
        <w:t>servizio manutenzione ordinaria e straordinaria</w:t>
      </w:r>
      <w:r w:rsidR="00206126">
        <w:rPr>
          <w:i/>
        </w:rPr>
        <w:t>,</w:t>
      </w:r>
    </w:p>
    <w:p w:rsidR="00206126" w:rsidRDefault="00206126" w:rsidP="002F4C0C">
      <w:pPr>
        <w:pStyle w:val="Paragrafoelenco"/>
        <w:numPr>
          <w:ilvl w:val="0"/>
          <w:numId w:val="1"/>
        </w:numPr>
        <w:jc w:val="both"/>
        <w:rPr>
          <w:i/>
        </w:rPr>
      </w:pPr>
      <w:r>
        <w:rPr>
          <w:i/>
        </w:rPr>
        <w:t xml:space="preserve">servizio </w:t>
      </w:r>
      <w:proofErr w:type="spellStart"/>
      <w:r>
        <w:rPr>
          <w:i/>
        </w:rPr>
        <w:t>efficientamenti</w:t>
      </w:r>
      <w:proofErr w:type="spellEnd"/>
      <w:r>
        <w:rPr>
          <w:i/>
        </w:rPr>
        <w:t>.</w:t>
      </w:r>
    </w:p>
    <w:p w:rsidR="000211FD" w:rsidRPr="00EB1761" w:rsidRDefault="000211FD" w:rsidP="000211FD">
      <w:pPr>
        <w:widowControl w:val="0"/>
        <w:tabs>
          <w:tab w:val="left" w:pos="8080"/>
        </w:tabs>
        <w:suppressAutoHyphens/>
        <w:ind w:right="873"/>
        <w:rPr>
          <w:b/>
          <w:bCs/>
          <w:sz w:val="28"/>
          <w:szCs w:val="28"/>
          <w:lang w:eastAsia="ar-SA"/>
        </w:rPr>
      </w:pPr>
      <w:r w:rsidRPr="00EB1761">
        <w:rPr>
          <w:b/>
          <w:bCs/>
          <w:sz w:val="28"/>
          <w:szCs w:val="28"/>
          <w:lang w:eastAsia="ar-SA"/>
        </w:rPr>
        <w:t>Eventuale appartenenza a un gruppo</w:t>
      </w:r>
    </w:p>
    <w:p w:rsidR="000211FD" w:rsidRPr="00EB1761" w:rsidRDefault="000211FD" w:rsidP="000211FD">
      <w:pPr>
        <w:widowControl w:val="0"/>
        <w:tabs>
          <w:tab w:val="left" w:pos="8080"/>
        </w:tabs>
        <w:suppressAutoHyphens/>
        <w:ind w:right="425" w:firstLine="708"/>
        <w:jc w:val="both"/>
        <w:rPr>
          <w:sz w:val="28"/>
          <w:szCs w:val="28"/>
          <w:lang w:eastAsia="ar-SA"/>
        </w:rPr>
      </w:pPr>
      <w:r w:rsidRPr="00EB1761">
        <w:rPr>
          <w:sz w:val="28"/>
          <w:szCs w:val="28"/>
          <w:lang w:eastAsia="ar-SA"/>
        </w:rPr>
        <w:t xml:space="preserve">La Società </w:t>
      </w:r>
      <w:r>
        <w:rPr>
          <w:sz w:val="28"/>
          <w:szCs w:val="28"/>
          <w:lang w:eastAsia="ar-SA"/>
        </w:rPr>
        <w:t>è controllata al 100% dalla Cooperazione e Sviluppo S.r.l.</w:t>
      </w:r>
      <w:r w:rsidRPr="008A337E">
        <w:rPr>
          <w:sz w:val="28"/>
          <w:szCs w:val="28"/>
          <w:lang w:eastAsia="ar-SA"/>
        </w:rPr>
        <w:t xml:space="preserve"> </w:t>
      </w:r>
      <w:r w:rsidR="008A337E" w:rsidRPr="008A337E">
        <w:rPr>
          <w:sz w:val="28"/>
          <w:szCs w:val="28"/>
          <w:lang w:eastAsia="ar-SA"/>
        </w:rPr>
        <w:t xml:space="preserve">in liquidazione </w:t>
      </w:r>
      <w:r w:rsidRPr="000211FD">
        <w:rPr>
          <w:sz w:val="28"/>
          <w:szCs w:val="28"/>
          <w:lang w:eastAsia="ar-SA"/>
        </w:rPr>
        <w:t>Sede in BELLIZZI - VIA PIO XI, 132</w:t>
      </w:r>
      <w:r w:rsidR="008A337E">
        <w:rPr>
          <w:sz w:val="28"/>
          <w:szCs w:val="28"/>
          <w:lang w:eastAsia="ar-SA"/>
        </w:rPr>
        <w:t>,</w:t>
      </w:r>
      <w:r w:rsidRPr="000211FD">
        <w:rPr>
          <w:sz w:val="28"/>
          <w:szCs w:val="28"/>
          <w:lang w:eastAsia="ar-SA"/>
        </w:rPr>
        <w:t xml:space="preserve"> Capitale Sociale versato Euro 95.500,00 Iscritto alla C.C.I.A.A. di SALERNO Codice Fiscale e N. iscrizione Registro Imprese 04319760650 Partita IVA: 04319760650 - N. Rea: 358204</w:t>
      </w:r>
      <w:r w:rsidRPr="00EB1761">
        <w:rPr>
          <w:sz w:val="28"/>
          <w:szCs w:val="28"/>
          <w:lang w:eastAsia="ar-SA"/>
        </w:rPr>
        <w:t>, né appartiene ad alcun gruppo.</w:t>
      </w:r>
    </w:p>
    <w:p w:rsidR="000211FD" w:rsidRPr="00EB1761" w:rsidRDefault="000211FD" w:rsidP="008A337E">
      <w:pPr>
        <w:widowControl w:val="0"/>
        <w:tabs>
          <w:tab w:val="left" w:pos="8080"/>
        </w:tabs>
        <w:suppressAutoHyphens/>
        <w:ind w:right="425" w:firstLine="708"/>
        <w:jc w:val="both"/>
        <w:rPr>
          <w:sz w:val="28"/>
          <w:szCs w:val="28"/>
          <w:lang w:eastAsia="ar-SA"/>
        </w:rPr>
      </w:pPr>
      <w:r w:rsidRPr="00EB1761">
        <w:rPr>
          <w:sz w:val="28"/>
          <w:szCs w:val="28"/>
          <w:lang w:eastAsia="ar-SA"/>
        </w:rPr>
        <w:t xml:space="preserve">Nel seguente prospetto vengono forniti i dati essenziali del bilancio </w:t>
      </w:r>
      <w:r w:rsidR="008A337E">
        <w:rPr>
          <w:sz w:val="28"/>
          <w:szCs w:val="28"/>
          <w:lang w:eastAsia="ar-SA"/>
        </w:rPr>
        <w:t>dell’Esercizio 201</w:t>
      </w:r>
      <w:r w:rsidR="00206126">
        <w:rPr>
          <w:sz w:val="28"/>
          <w:szCs w:val="28"/>
          <w:lang w:eastAsia="ar-SA"/>
        </w:rPr>
        <w:t>5</w:t>
      </w:r>
      <w:r w:rsidR="008A337E">
        <w:rPr>
          <w:sz w:val="28"/>
          <w:szCs w:val="28"/>
          <w:lang w:eastAsia="ar-SA"/>
        </w:rPr>
        <w:t xml:space="preserve">, </w:t>
      </w:r>
      <w:r w:rsidR="00206126">
        <w:rPr>
          <w:sz w:val="28"/>
          <w:szCs w:val="28"/>
          <w:lang w:eastAsia="ar-SA"/>
        </w:rPr>
        <w:t xml:space="preserve">secondo </w:t>
      </w:r>
      <w:r w:rsidR="008A337E">
        <w:rPr>
          <w:sz w:val="28"/>
          <w:szCs w:val="28"/>
          <w:lang w:eastAsia="ar-SA"/>
        </w:rPr>
        <w:t>esercizio della società</w:t>
      </w:r>
      <w:r w:rsidR="00206126">
        <w:rPr>
          <w:sz w:val="28"/>
          <w:szCs w:val="28"/>
          <w:lang w:eastAsia="ar-SA"/>
        </w:rPr>
        <w:t xml:space="preserve"> e primo non parziale</w:t>
      </w:r>
      <w:r w:rsidRPr="00EB1761">
        <w:rPr>
          <w:sz w:val="28"/>
          <w:szCs w:val="28"/>
          <w:lang w:eastAsia="ar-SA"/>
        </w:rPr>
        <w:t>.</w:t>
      </w:r>
    </w:p>
    <w:p w:rsidR="000211FD" w:rsidRDefault="000211FD" w:rsidP="008A337E">
      <w:pPr>
        <w:widowControl w:val="0"/>
        <w:tabs>
          <w:tab w:val="left" w:pos="8080"/>
        </w:tabs>
        <w:suppressAutoHyphens/>
        <w:ind w:right="425" w:firstLine="708"/>
        <w:jc w:val="both"/>
        <w:rPr>
          <w:sz w:val="28"/>
          <w:szCs w:val="28"/>
          <w:lang w:eastAsia="ar-SA"/>
        </w:rPr>
      </w:pPr>
      <w:r w:rsidRPr="00EB1761">
        <w:rPr>
          <w:sz w:val="28"/>
          <w:szCs w:val="28"/>
          <w:lang w:eastAsia="ar-SA"/>
        </w:rPr>
        <w:t xml:space="preserve">Lo stato patrimoniale evidenzia un risultato di esercizio </w:t>
      </w:r>
      <w:r w:rsidR="00206126">
        <w:rPr>
          <w:sz w:val="28"/>
          <w:szCs w:val="28"/>
          <w:lang w:eastAsia="ar-SA"/>
        </w:rPr>
        <w:t xml:space="preserve">positivo di </w:t>
      </w:r>
      <w:r w:rsidRPr="00EB1761">
        <w:rPr>
          <w:sz w:val="28"/>
          <w:szCs w:val="28"/>
          <w:lang w:eastAsia="ar-SA"/>
        </w:rPr>
        <w:t xml:space="preserve">€ </w:t>
      </w:r>
      <w:r w:rsidR="00874B42" w:rsidRPr="00874B42">
        <w:rPr>
          <w:sz w:val="28"/>
          <w:szCs w:val="28"/>
          <w:lang w:eastAsia="ar-SA"/>
        </w:rPr>
        <w:t>22.192</w:t>
      </w:r>
      <w:r w:rsidRPr="00EB1761">
        <w:rPr>
          <w:sz w:val="28"/>
          <w:szCs w:val="28"/>
          <w:lang w:eastAsia="ar-SA"/>
        </w:rPr>
        <w:t>, e si riassume nei seguenti valori:</w:t>
      </w:r>
    </w:p>
    <w:p w:rsidR="00206126" w:rsidRDefault="00206126" w:rsidP="00206126">
      <w:pPr>
        <w:widowControl w:val="0"/>
        <w:tabs>
          <w:tab w:val="left" w:pos="8080"/>
        </w:tabs>
        <w:suppressAutoHyphens/>
        <w:ind w:right="425"/>
        <w:jc w:val="center"/>
        <w:rPr>
          <w:sz w:val="28"/>
          <w:szCs w:val="28"/>
          <w:lang w:eastAsia="ar-SA"/>
        </w:rPr>
      </w:pPr>
      <w:r w:rsidRPr="00206126">
        <w:rPr>
          <w:noProof/>
        </w:rPr>
        <w:drawing>
          <wp:inline distT="0" distB="0" distL="0" distR="0">
            <wp:extent cx="5715000" cy="23050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305050"/>
                    </a:xfrm>
                    <a:prstGeom prst="rect">
                      <a:avLst/>
                    </a:prstGeom>
                    <a:noFill/>
                    <a:ln>
                      <a:noFill/>
                    </a:ln>
                  </pic:spPr>
                </pic:pic>
              </a:graphicData>
            </a:graphic>
          </wp:inline>
        </w:drawing>
      </w:r>
    </w:p>
    <w:p w:rsidR="000211FD" w:rsidRPr="00874B42" w:rsidRDefault="000211FD" w:rsidP="000211FD">
      <w:pPr>
        <w:widowControl w:val="0"/>
        <w:suppressAutoHyphens/>
        <w:ind w:right="873"/>
        <w:rPr>
          <w:b/>
          <w:i/>
          <w:sz w:val="28"/>
          <w:szCs w:val="28"/>
          <w:lang w:eastAsia="ar-SA"/>
        </w:rPr>
      </w:pPr>
      <w:r w:rsidRPr="00874B42">
        <w:rPr>
          <w:b/>
          <w:i/>
          <w:sz w:val="28"/>
          <w:szCs w:val="28"/>
          <w:lang w:eastAsia="ar-SA"/>
        </w:rPr>
        <w:tab/>
        <w:t>Il conto economico presenta, in sintesi, i seguenti valori:</w:t>
      </w:r>
    </w:p>
    <w:p w:rsidR="00874B42" w:rsidRDefault="00874B42" w:rsidP="00874B42">
      <w:pPr>
        <w:widowControl w:val="0"/>
        <w:suppressAutoHyphens/>
        <w:ind w:right="873"/>
        <w:jc w:val="center"/>
        <w:rPr>
          <w:sz w:val="28"/>
          <w:szCs w:val="28"/>
          <w:lang w:eastAsia="ar-SA"/>
        </w:rPr>
      </w:pPr>
      <w:r w:rsidRPr="00874B42">
        <w:rPr>
          <w:noProof/>
        </w:rPr>
        <w:drawing>
          <wp:inline distT="0" distB="0" distL="0" distR="0">
            <wp:extent cx="5781675" cy="134302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1675" cy="1343025"/>
                    </a:xfrm>
                    <a:prstGeom prst="rect">
                      <a:avLst/>
                    </a:prstGeom>
                    <a:noFill/>
                    <a:ln>
                      <a:noFill/>
                    </a:ln>
                  </pic:spPr>
                </pic:pic>
              </a:graphicData>
            </a:graphic>
          </wp:inline>
        </w:drawing>
      </w:r>
    </w:p>
    <w:p w:rsidR="000211FD" w:rsidRPr="00EB1761" w:rsidRDefault="000211FD" w:rsidP="000211FD">
      <w:pPr>
        <w:widowControl w:val="0"/>
        <w:tabs>
          <w:tab w:val="left" w:pos="8080"/>
        </w:tabs>
        <w:suppressAutoHyphens/>
        <w:ind w:right="425"/>
        <w:jc w:val="both"/>
        <w:rPr>
          <w:b/>
          <w:bCs/>
          <w:sz w:val="28"/>
          <w:szCs w:val="28"/>
          <w:lang w:eastAsia="ar-SA"/>
        </w:rPr>
      </w:pPr>
      <w:r w:rsidRPr="00EB1761">
        <w:rPr>
          <w:b/>
          <w:bCs/>
          <w:sz w:val="28"/>
          <w:szCs w:val="28"/>
          <w:lang w:eastAsia="ar-SA"/>
        </w:rPr>
        <w:lastRenderedPageBreak/>
        <w:t>Criteri di formazione</w:t>
      </w:r>
    </w:p>
    <w:p w:rsidR="000211FD" w:rsidRPr="00EB1761" w:rsidRDefault="000211FD" w:rsidP="008A337E">
      <w:pPr>
        <w:widowControl w:val="0"/>
        <w:tabs>
          <w:tab w:val="left" w:pos="8080"/>
        </w:tabs>
        <w:suppressAutoHyphens/>
        <w:ind w:right="425" w:firstLine="708"/>
        <w:jc w:val="both"/>
        <w:rPr>
          <w:sz w:val="28"/>
          <w:szCs w:val="28"/>
          <w:lang w:eastAsia="ar-SA"/>
        </w:rPr>
      </w:pPr>
      <w:r w:rsidRPr="00EB1761">
        <w:rPr>
          <w:sz w:val="28"/>
          <w:szCs w:val="28"/>
          <w:lang w:eastAsia="ar-SA"/>
        </w:rPr>
        <w:t>Il presente bilancio e stato redatto in forma abbreviata in quanto sussistono i requisiti di cui all’art.2435 - Bis. 1° comma del C.C.</w:t>
      </w:r>
    </w:p>
    <w:p w:rsidR="000211FD" w:rsidRPr="00EB1761" w:rsidRDefault="000211FD" w:rsidP="008A337E">
      <w:pPr>
        <w:widowControl w:val="0"/>
        <w:tabs>
          <w:tab w:val="left" w:pos="8080"/>
        </w:tabs>
        <w:suppressAutoHyphens/>
        <w:ind w:right="425" w:firstLine="708"/>
        <w:jc w:val="both"/>
        <w:rPr>
          <w:sz w:val="28"/>
          <w:szCs w:val="28"/>
          <w:lang w:eastAsia="ar-SA"/>
        </w:rPr>
      </w:pPr>
      <w:r w:rsidRPr="00EB1761">
        <w:rPr>
          <w:sz w:val="28"/>
          <w:szCs w:val="28"/>
          <w:lang w:eastAsia="ar-SA"/>
        </w:rPr>
        <w:t>A completamento della doverosa informazione, si precisa in questa sede che ai sensi dell’art. 2428 punto 3) e 4) C.C. non esistono né quote proprie, né quote di società controllanti possedute dalla società anche per tramite di società fiduciarie o per interposta persona e che né quote proprie o quote di società controllanti sono state acquistate o vendute, nel corso dell’esercizio, anche  per tramite di società fiduciaria o per interposta persona.</w:t>
      </w:r>
    </w:p>
    <w:p w:rsidR="000211FD" w:rsidRPr="00EB1761" w:rsidRDefault="008A337E" w:rsidP="000211FD">
      <w:pPr>
        <w:widowControl w:val="0"/>
        <w:tabs>
          <w:tab w:val="left" w:pos="8080"/>
        </w:tabs>
        <w:suppressAutoHyphens/>
        <w:ind w:right="425"/>
        <w:jc w:val="both"/>
        <w:rPr>
          <w:b/>
          <w:bCs/>
          <w:sz w:val="28"/>
          <w:szCs w:val="28"/>
          <w:u w:val="single"/>
          <w:lang w:eastAsia="ar-SA"/>
        </w:rPr>
      </w:pPr>
      <w:r>
        <w:rPr>
          <w:b/>
          <w:bCs/>
          <w:sz w:val="28"/>
          <w:szCs w:val="28"/>
          <w:lang w:eastAsia="ar-SA"/>
        </w:rPr>
        <w:t xml:space="preserve">Criteri di valutazione </w:t>
      </w:r>
    </w:p>
    <w:p w:rsidR="000211FD" w:rsidRPr="00EB1761" w:rsidRDefault="000211FD" w:rsidP="008A337E">
      <w:pPr>
        <w:widowControl w:val="0"/>
        <w:tabs>
          <w:tab w:val="left" w:pos="8080"/>
        </w:tabs>
        <w:suppressAutoHyphens/>
        <w:ind w:right="425" w:firstLine="708"/>
        <w:jc w:val="both"/>
        <w:rPr>
          <w:sz w:val="28"/>
          <w:szCs w:val="28"/>
          <w:lang w:eastAsia="ar-SA"/>
        </w:rPr>
      </w:pPr>
      <w:r w:rsidRPr="00EB1761">
        <w:rPr>
          <w:sz w:val="28"/>
          <w:szCs w:val="28"/>
          <w:lang w:eastAsia="ar-SA"/>
        </w:rPr>
        <w:t>La valutazione delle voci di bilancio è stata fatta ispirandosi a criteri generali di prudenza e competenza nella prospettiva della continuazione dell’attività.</w:t>
      </w:r>
    </w:p>
    <w:p w:rsidR="000211FD" w:rsidRPr="00EB1761" w:rsidRDefault="000211FD" w:rsidP="008A337E">
      <w:pPr>
        <w:widowControl w:val="0"/>
        <w:tabs>
          <w:tab w:val="left" w:pos="8080"/>
        </w:tabs>
        <w:suppressAutoHyphens/>
        <w:ind w:right="425" w:firstLine="708"/>
        <w:jc w:val="both"/>
        <w:rPr>
          <w:sz w:val="28"/>
          <w:szCs w:val="28"/>
          <w:lang w:eastAsia="ar-SA"/>
        </w:rPr>
      </w:pPr>
      <w:r w:rsidRPr="00EB1761">
        <w:rPr>
          <w:sz w:val="28"/>
          <w:szCs w:val="28"/>
          <w:lang w:eastAsia="ar-SA"/>
        </w:rPr>
        <w:t>L’applicazione del principio di prudenza ha comportato la valutazione individuale degli elementi componenti le singole poste o voci delle attività o passività.</w:t>
      </w:r>
    </w:p>
    <w:p w:rsidR="000211FD" w:rsidRPr="00EB1761" w:rsidRDefault="000211FD" w:rsidP="008A337E">
      <w:pPr>
        <w:widowControl w:val="0"/>
        <w:tabs>
          <w:tab w:val="left" w:pos="8080"/>
        </w:tabs>
        <w:suppressAutoHyphens/>
        <w:ind w:right="425" w:firstLine="708"/>
        <w:jc w:val="both"/>
        <w:rPr>
          <w:sz w:val="28"/>
          <w:szCs w:val="28"/>
          <w:lang w:eastAsia="ar-SA"/>
        </w:rPr>
      </w:pPr>
      <w:r w:rsidRPr="00EB1761">
        <w:rPr>
          <w:sz w:val="28"/>
          <w:szCs w:val="28"/>
          <w:lang w:eastAsia="ar-SA"/>
        </w:rPr>
        <w:t>In ottemperanza al principio di competenza, l’effetto delle operazioni e degli altri eventi è stato rilevato contabilmente ed attribuito all’esercizio al quale tali operazioni ed eventi si riferiscono, e non quello in cui si concretizzano i relativi movimenti di numerario. (incassi e pagamenti)</w:t>
      </w:r>
    </w:p>
    <w:p w:rsidR="000211FD" w:rsidRPr="00EB1761" w:rsidRDefault="000211FD" w:rsidP="008A337E">
      <w:pPr>
        <w:widowControl w:val="0"/>
        <w:tabs>
          <w:tab w:val="left" w:pos="8080"/>
        </w:tabs>
        <w:suppressAutoHyphens/>
        <w:ind w:right="425" w:firstLine="708"/>
        <w:jc w:val="both"/>
        <w:rPr>
          <w:sz w:val="28"/>
          <w:szCs w:val="28"/>
          <w:lang w:eastAsia="ar-SA"/>
        </w:rPr>
      </w:pPr>
      <w:r w:rsidRPr="00EB1761">
        <w:rPr>
          <w:sz w:val="28"/>
          <w:szCs w:val="28"/>
          <w:lang w:eastAsia="ar-SA"/>
        </w:rPr>
        <w:t>La valutazione tenendo conto della funzione economica dell’elemento dell’attivo o del passivo considerato che esprime il principio della prevalenza della sostanza sulla forma – obbligatoria laddove non espressamente in contrasto con altre norme specifiche sul bilancio – consente la rappresentazione delle operazioni secondo la realtà economica sottostante gli aspetti formali.</w:t>
      </w:r>
    </w:p>
    <w:p w:rsidR="000211FD" w:rsidRPr="00EB1761" w:rsidRDefault="000211FD" w:rsidP="008A337E">
      <w:pPr>
        <w:widowControl w:val="0"/>
        <w:tabs>
          <w:tab w:val="left" w:pos="8080"/>
        </w:tabs>
        <w:suppressAutoHyphens/>
        <w:ind w:right="425" w:firstLine="708"/>
        <w:jc w:val="both"/>
        <w:rPr>
          <w:sz w:val="28"/>
          <w:szCs w:val="28"/>
          <w:lang w:eastAsia="ar-SA"/>
        </w:rPr>
      </w:pPr>
      <w:r w:rsidRPr="00EB1761">
        <w:rPr>
          <w:sz w:val="28"/>
          <w:szCs w:val="28"/>
          <w:lang w:eastAsia="ar-SA"/>
        </w:rPr>
        <w:t>In particolare i criteri di valutazione adottati nella formazione del bilancio sono stati  i seguenti:</w:t>
      </w:r>
    </w:p>
    <w:p w:rsidR="000211FD" w:rsidRPr="00EB1761" w:rsidRDefault="000211FD" w:rsidP="000211FD">
      <w:pPr>
        <w:widowControl w:val="0"/>
        <w:tabs>
          <w:tab w:val="left" w:pos="8080"/>
        </w:tabs>
        <w:suppressAutoHyphens/>
        <w:ind w:left="708" w:right="425" w:firstLine="4"/>
        <w:jc w:val="both"/>
        <w:rPr>
          <w:b/>
          <w:bCs/>
          <w:sz w:val="28"/>
          <w:szCs w:val="28"/>
          <w:lang w:eastAsia="ar-SA"/>
        </w:rPr>
      </w:pPr>
      <w:r w:rsidRPr="00EB1761">
        <w:rPr>
          <w:b/>
          <w:bCs/>
          <w:sz w:val="28"/>
          <w:szCs w:val="28"/>
          <w:lang w:eastAsia="ar-SA"/>
        </w:rPr>
        <w:t>Immobilizzazioni Immateriali, Materiali e Finanziarie</w:t>
      </w:r>
    </w:p>
    <w:p w:rsidR="000211FD" w:rsidRPr="00EB1761" w:rsidRDefault="000211FD" w:rsidP="008A337E">
      <w:pPr>
        <w:widowControl w:val="0"/>
        <w:tabs>
          <w:tab w:val="left" w:pos="8080"/>
        </w:tabs>
        <w:suppressAutoHyphens/>
        <w:ind w:right="425" w:firstLine="708"/>
        <w:jc w:val="both"/>
        <w:rPr>
          <w:sz w:val="28"/>
          <w:szCs w:val="28"/>
          <w:lang w:eastAsia="ar-SA"/>
        </w:rPr>
      </w:pPr>
      <w:r w:rsidRPr="00EB1761">
        <w:rPr>
          <w:sz w:val="28"/>
          <w:szCs w:val="28"/>
          <w:lang w:eastAsia="ar-SA"/>
        </w:rPr>
        <w:t>Sono iscritte al costo di acquisto e rettificate dai corrispondenti fondi di ammortamento. Nel valore di iscrizione in bilancio si è tenuto conto degli oneri accessori.</w:t>
      </w:r>
    </w:p>
    <w:p w:rsidR="000211FD" w:rsidRPr="00EB1761" w:rsidRDefault="000211FD" w:rsidP="008A337E">
      <w:pPr>
        <w:widowControl w:val="0"/>
        <w:tabs>
          <w:tab w:val="left" w:pos="8080"/>
        </w:tabs>
        <w:suppressAutoHyphens/>
        <w:ind w:right="425" w:firstLine="708"/>
        <w:jc w:val="both"/>
        <w:rPr>
          <w:sz w:val="28"/>
          <w:szCs w:val="28"/>
          <w:lang w:eastAsia="ar-SA"/>
        </w:rPr>
      </w:pPr>
      <w:r w:rsidRPr="00EB1761">
        <w:rPr>
          <w:sz w:val="28"/>
          <w:szCs w:val="28"/>
          <w:lang w:eastAsia="ar-SA"/>
        </w:rPr>
        <w:t>La quota di ammortamento per le spese di costituzione e modifica imputata al conto economico, è stata calcolata, come la norma prescrive.</w:t>
      </w:r>
    </w:p>
    <w:p w:rsidR="000211FD" w:rsidRPr="00EB1761" w:rsidRDefault="000211FD" w:rsidP="008A337E">
      <w:pPr>
        <w:widowControl w:val="0"/>
        <w:tabs>
          <w:tab w:val="left" w:pos="8080"/>
        </w:tabs>
        <w:suppressAutoHyphens/>
        <w:ind w:right="425" w:firstLine="708"/>
        <w:jc w:val="both"/>
        <w:rPr>
          <w:sz w:val="28"/>
          <w:szCs w:val="28"/>
          <w:lang w:eastAsia="ar-SA"/>
        </w:rPr>
      </w:pPr>
      <w:r w:rsidRPr="00EB1761">
        <w:rPr>
          <w:sz w:val="28"/>
          <w:szCs w:val="28"/>
          <w:lang w:eastAsia="ar-SA"/>
        </w:rPr>
        <w:t>Nel presente esercizio non si è proceduto ad effettuare ammortamenti anticipati, né rivalutazioni di alcun genere sulle immobilizzazioni.</w:t>
      </w:r>
    </w:p>
    <w:p w:rsidR="000211FD" w:rsidRPr="00EB1761" w:rsidRDefault="000211FD" w:rsidP="000211FD">
      <w:pPr>
        <w:widowControl w:val="0"/>
        <w:suppressAutoHyphens/>
        <w:ind w:right="873"/>
        <w:jc w:val="both"/>
        <w:rPr>
          <w:b/>
          <w:bCs/>
          <w:sz w:val="28"/>
          <w:szCs w:val="28"/>
          <w:lang w:eastAsia="ar-SA"/>
        </w:rPr>
      </w:pPr>
      <w:r w:rsidRPr="00EB1761">
        <w:rPr>
          <w:b/>
          <w:bCs/>
          <w:sz w:val="28"/>
          <w:szCs w:val="28"/>
          <w:lang w:eastAsia="ar-SA"/>
        </w:rPr>
        <w:t>Prospetto ammortamenti</w:t>
      </w:r>
    </w:p>
    <w:tbl>
      <w:tblPr>
        <w:tblW w:w="0" w:type="auto"/>
        <w:tblInd w:w="60" w:type="dxa"/>
        <w:tblLayout w:type="fixed"/>
        <w:tblCellMar>
          <w:left w:w="0" w:type="dxa"/>
          <w:right w:w="0" w:type="dxa"/>
        </w:tblCellMar>
        <w:tblLook w:val="0000" w:firstRow="0" w:lastRow="0" w:firstColumn="0" w:lastColumn="0" w:noHBand="0" w:noVBand="0"/>
      </w:tblPr>
      <w:tblGrid>
        <w:gridCol w:w="1783"/>
        <w:gridCol w:w="1142"/>
        <w:gridCol w:w="1276"/>
        <w:gridCol w:w="1276"/>
        <w:gridCol w:w="1134"/>
        <w:gridCol w:w="1559"/>
      </w:tblGrid>
      <w:tr w:rsidR="000211FD" w:rsidRPr="00EB1761" w:rsidTr="00E553C3">
        <w:trPr>
          <w:cantSplit/>
          <w:trHeight w:val="314"/>
        </w:trPr>
        <w:tc>
          <w:tcPr>
            <w:tcW w:w="1783" w:type="dxa"/>
            <w:shd w:val="clear" w:color="auto" w:fill="auto"/>
          </w:tcPr>
          <w:p w:rsidR="000211FD" w:rsidRPr="00EB1761" w:rsidRDefault="000211FD" w:rsidP="00E553C3">
            <w:pPr>
              <w:widowControl w:val="0"/>
              <w:suppressAutoHyphens/>
              <w:snapToGrid w:val="0"/>
              <w:ind w:right="873"/>
              <w:jc w:val="center"/>
              <w:rPr>
                <w:sz w:val="28"/>
                <w:szCs w:val="28"/>
                <w:lang w:eastAsia="ar-SA"/>
              </w:rPr>
            </w:pPr>
          </w:p>
        </w:tc>
        <w:tc>
          <w:tcPr>
            <w:tcW w:w="1142" w:type="dxa"/>
            <w:shd w:val="clear" w:color="auto" w:fill="auto"/>
          </w:tcPr>
          <w:p w:rsidR="000211FD" w:rsidRPr="00EB1761" w:rsidRDefault="000211FD" w:rsidP="00E553C3">
            <w:pPr>
              <w:widowControl w:val="0"/>
              <w:tabs>
                <w:tab w:val="left" w:pos="1191"/>
              </w:tabs>
              <w:suppressAutoHyphens/>
              <w:snapToGrid w:val="0"/>
              <w:ind w:right="-32"/>
              <w:jc w:val="center"/>
              <w:rPr>
                <w:b/>
                <w:sz w:val="28"/>
                <w:szCs w:val="28"/>
                <w:lang w:eastAsia="ar-SA"/>
              </w:rPr>
            </w:pPr>
            <w:r w:rsidRPr="00EB1761">
              <w:rPr>
                <w:b/>
                <w:sz w:val="28"/>
                <w:szCs w:val="28"/>
                <w:lang w:eastAsia="ar-SA"/>
              </w:rPr>
              <w:t>05.08.2014</w:t>
            </w:r>
          </w:p>
        </w:tc>
        <w:tc>
          <w:tcPr>
            <w:tcW w:w="1276" w:type="dxa"/>
            <w:shd w:val="clear" w:color="auto" w:fill="auto"/>
          </w:tcPr>
          <w:p w:rsidR="000211FD" w:rsidRPr="00EB1761" w:rsidRDefault="000211FD" w:rsidP="00E553C3">
            <w:pPr>
              <w:widowControl w:val="0"/>
              <w:tabs>
                <w:tab w:val="left" w:pos="1166"/>
              </w:tabs>
              <w:suppressAutoHyphens/>
              <w:snapToGrid w:val="0"/>
              <w:jc w:val="center"/>
              <w:rPr>
                <w:b/>
                <w:sz w:val="28"/>
                <w:szCs w:val="28"/>
                <w:lang w:eastAsia="ar-SA"/>
              </w:rPr>
            </w:pPr>
            <w:r w:rsidRPr="00EB1761">
              <w:rPr>
                <w:b/>
                <w:sz w:val="28"/>
                <w:szCs w:val="28"/>
                <w:lang w:eastAsia="ar-SA"/>
              </w:rPr>
              <w:t xml:space="preserve">Acquisti </w:t>
            </w:r>
          </w:p>
        </w:tc>
        <w:tc>
          <w:tcPr>
            <w:tcW w:w="1276" w:type="dxa"/>
            <w:shd w:val="clear" w:color="auto" w:fill="auto"/>
          </w:tcPr>
          <w:p w:rsidR="000211FD" w:rsidRPr="00EB1761" w:rsidRDefault="000211FD" w:rsidP="00E553C3">
            <w:pPr>
              <w:widowControl w:val="0"/>
              <w:suppressAutoHyphens/>
              <w:snapToGrid w:val="0"/>
              <w:jc w:val="center"/>
              <w:rPr>
                <w:b/>
                <w:sz w:val="28"/>
                <w:szCs w:val="28"/>
                <w:lang w:eastAsia="ar-SA"/>
              </w:rPr>
            </w:pPr>
            <w:r w:rsidRPr="00EB1761">
              <w:rPr>
                <w:b/>
                <w:sz w:val="28"/>
                <w:szCs w:val="28"/>
                <w:lang w:eastAsia="ar-SA"/>
              </w:rPr>
              <w:t>Cessioni</w:t>
            </w:r>
          </w:p>
        </w:tc>
        <w:tc>
          <w:tcPr>
            <w:tcW w:w="1134" w:type="dxa"/>
            <w:shd w:val="clear" w:color="auto" w:fill="auto"/>
          </w:tcPr>
          <w:p w:rsidR="000211FD" w:rsidRPr="00EB1761" w:rsidRDefault="000211FD" w:rsidP="00E553C3">
            <w:pPr>
              <w:widowControl w:val="0"/>
              <w:tabs>
                <w:tab w:val="left" w:pos="911"/>
              </w:tabs>
              <w:suppressAutoHyphens/>
              <w:snapToGrid w:val="0"/>
              <w:ind w:right="-3"/>
              <w:jc w:val="center"/>
              <w:rPr>
                <w:b/>
                <w:sz w:val="28"/>
                <w:szCs w:val="28"/>
                <w:lang w:eastAsia="ar-SA"/>
              </w:rPr>
            </w:pPr>
            <w:r w:rsidRPr="00EB1761">
              <w:rPr>
                <w:b/>
                <w:sz w:val="28"/>
                <w:szCs w:val="28"/>
                <w:lang w:eastAsia="ar-SA"/>
              </w:rPr>
              <w:t>Amm.to</w:t>
            </w:r>
          </w:p>
        </w:tc>
        <w:tc>
          <w:tcPr>
            <w:tcW w:w="1559" w:type="dxa"/>
            <w:shd w:val="clear" w:color="auto" w:fill="auto"/>
          </w:tcPr>
          <w:p w:rsidR="000211FD" w:rsidRPr="00EB1761" w:rsidRDefault="000211FD" w:rsidP="00E553C3">
            <w:pPr>
              <w:widowControl w:val="0"/>
              <w:suppressAutoHyphens/>
              <w:snapToGrid w:val="0"/>
              <w:jc w:val="center"/>
              <w:rPr>
                <w:b/>
                <w:sz w:val="28"/>
                <w:szCs w:val="28"/>
                <w:lang w:eastAsia="ar-SA"/>
              </w:rPr>
            </w:pPr>
            <w:r w:rsidRPr="00EB1761">
              <w:rPr>
                <w:b/>
                <w:sz w:val="28"/>
                <w:szCs w:val="28"/>
                <w:lang w:eastAsia="ar-SA"/>
              </w:rPr>
              <w:t>Valore finale</w:t>
            </w:r>
          </w:p>
        </w:tc>
      </w:tr>
      <w:tr w:rsidR="000211FD" w:rsidRPr="00EB1761" w:rsidTr="00E553C3">
        <w:trPr>
          <w:cantSplit/>
        </w:trPr>
        <w:tc>
          <w:tcPr>
            <w:tcW w:w="1783" w:type="dxa"/>
            <w:shd w:val="clear" w:color="auto" w:fill="auto"/>
          </w:tcPr>
          <w:p w:rsidR="000211FD" w:rsidRPr="00EB1761" w:rsidRDefault="000211FD" w:rsidP="00E553C3">
            <w:pPr>
              <w:widowControl w:val="0"/>
              <w:tabs>
                <w:tab w:val="left" w:pos="1560"/>
              </w:tabs>
              <w:suppressAutoHyphens/>
              <w:snapToGrid w:val="0"/>
              <w:ind w:left="142"/>
              <w:jc w:val="both"/>
              <w:rPr>
                <w:sz w:val="28"/>
                <w:szCs w:val="28"/>
                <w:lang w:eastAsia="ar-SA"/>
              </w:rPr>
            </w:pPr>
            <w:r w:rsidRPr="00EB1761">
              <w:rPr>
                <w:sz w:val="28"/>
                <w:szCs w:val="28"/>
                <w:lang w:eastAsia="ar-SA"/>
              </w:rPr>
              <w:t xml:space="preserve">  Costi </w:t>
            </w:r>
          </w:p>
          <w:p w:rsidR="000211FD" w:rsidRPr="00EB1761" w:rsidRDefault="000211FD" w:rsidP="00E553C3">
            <w:pPr>
              <w:widowControl w:val="0"/>
              <w:tabs>
                <w:tab w:val="left" w:pos="1560"/>
              </w:tabs>
              <w:suppressAutoHyphens/>
              <w:snapToGrid w:val="0"/>
              <w:ind w:left="142"/>
              <w:jc w:val="both"/>
              <w:rPr>
                <w:sz w:val="28"/>
                <w:szCs w:val="28"/>
                <w:lang w:eastAsia="ar-SA"/>
              </w:rPr>
            </w:pPr>
            <w:r w:rsidRPr="00EB1761">
              <w:rPr>
                <w:sz w:val="28"/>
                <w:szCs w:val="28"/>
                <w:lang w:eastAsia="ar-SA"/>
              </w:rPr>
              <w:t>di impianto</w:t>
            </w:r>
          </w:p>
        </w:tc>
        <w:tc>
          <w:tcPr>
            <w:tcW w:w="1142" w:type="dxa"/>
            <w:shd w:val="clear" w:color="auto" w:fill="auto"/>
          </w:tcPr>
          <w:p w:rsidR="000211FD" w:rsidRPr="00EB1761" w:rsidRDefault="000211FD" w:rsidP="00E553C3">
            <w:pPr>
              <w:widowControl w:val="0"/>
              <w:suppressAutoHyphens/>
              <w:snapToGrid w:val="0"/>
              <w:jc w:val="center"/>
              <w:rPr>
                <w:sz w:val="28"/>
                <w:szCs w:val="28"/>
                <w:u w:val="double"/>
                <w:lang w:eastAsia="ar-SA"/>
              </w:rPr>
            </w:pPr>
            <w:r w:rsidRPr="00EB1761">
              <w:rPr>
                <w:sz w:val="28"/>
                <w:szCs w:val="28"/>
                <w:u w:val="double"/>
                <w:lang w:eastAsia="ar-SA"/>
              </w:rPr>
              <w:t xml:space="preserve">  </w:t>
            </w:r>
            <w:r w:rsidR="00874B42" w:rsidRPr="00874B42">
              <w:rPr>
                <w:sz w:val="28"/>
                <w:szCs w:val="28"/>
                <w:u w:val="double"/>
                <w:lang w:eastAsia="ar-SA"/>
              </w:rPr>
              <w:t>2.806,79</w:t>
            </w:r>
          </w:p>
          <w:p w:rsidR="000211FD" w:rsidRPr="00EB1761" w:rsidRDefault="000211FD" w:rsidP="00E553C3">
            <w:pPr>
              <w:widowControl w:val="0"/>
              <w:suppressAutoHyphens/>
              <w:snapToGrid w:val="0"/>
              <w:jc w:val="center"/>
              <w:rPr>
                <w:sz w:val="28"/>
                <w:szCs w:val="28"/>
                <w:lang w:eastAsia="ar-SA"/>
              </w:rPr>
            </w:pPr>
          </w:p>
        </w:tc>
        <w:tc>
          <w:tcPr>
            <w:tcW w:w="1276" w:type="dxa"/>
            <w:shd w:val="clear" w:color="auto" w:fill="auto"/>
          </w:tcPr>
          <w:p w:rsidR="000211FD" w:rsidRPr="00EB1761" w:rsidRDefault="000211FD" w:rsidP="00E553C3">
            <w:pPr>
              <w:widowControl w:val="0"/>
              <w:suppressAutoHyphens/>
              <w:snapToGrid w:val="0"/>
              <w:jc w:val="center"/>
              <w:rPr>
                <w:sz w:val="28"/>
                <w:szCs w:val="28"/>
                <w:lang w:eastAsia="ar-SA"/>
              </w:rPr>
            </w:pPr>
            <w:r w:rsidRPr="00EB1761">
              <w:rPr>
                <w:sz w:val="28"/>
                <w:szCs w:val="28"/>
                <w:lang w:eastAsia="ar-SA"/>
              </w:rPr>
              <w:t xml:space="preserve">// </w:t>
            </w:r>
          </w:p>
        </w:tc>
        <w:tc>
          <w:tcPr>
            <w:tcW w:w="1276" w:type="dxa"/>
            <w:shd w:val="clear" w:color="auto" w:fill="auto"/>
          </w:tcPr>
          <w:p w:rsidR="000211FD" w:rsidRPr="00EB1761" w:rsidRDefault="000211FD" w:rsidP="00E553C3">
            <w:pPr>
              <w:widowControl w:val="0"/>
              <w:suppressAutoHyphens/>
              <w:snapToGrid w:val="0"/>
              <w:ind w:right="8"/>
              <w:jc w:val="center"/>
              <w:rPr>
                <w:sz w:val="28"/>
                <w:szCs w:val="28"/>
                <w:lang w:eastAsia="ar-SA"/>
              </w:rPr>
            </w:pPr>
            <w:r w:rsidRPr="00EB1761">
              <w:rPr>
                <w:sz w:val="28"/>
                <w:szCs w:val="28"/>
                <w:lang w:eastAsia="ar-SA"/>
              </w:rPr>
              <w:t>//</w:t>
            </w:r>
          </w:p>
        </w:tc>
        <w:tc>
          <w:tcPr>
            <w:tcW w:w="1134" w:type="dxa"/>
            <w:shd w:val="clear" w:color="auto" w:fill="auto"/>
          </w:tcPr>
          <w:p w:rsidR="000211FD" w:rsidRPr="00EB1761" w:rsidRDefault="00874B42" w:rsidP="00E553C3">
            <w:pPr>
              <w:widowControl w:val="0"/>
              <w:suppressAutoHyphens/>
              <w:snapToGrid w:val="0"/>
              <w:ind w:right="-3"/>
              <w:jc w:val="center"/>
              <w:rPr>
                <w:sz w:val="28"/>
                <w:szCs w:val="28"/>
                <w:u w:val="double"/>
                <w:lang w:eastAsia="ar-SA"/>
              </w:rPr>
            </w:pPr>
            <w:r w:rsidRPr="00874B42">
              <w:rPr>
                <w:sz w:val="28"/>
                <w:szCs w:val="28"/>
                <w:u w:val="double"/>
                <w:lang w:eastAsia="ar-SA"/>
              </w:rPr>
              <w:t>561,36</w:t>
            </w:r>
          </w:p>
        </w:tc>
        <w:tc>
          <w:tcPr>
            <w:tcW w:w="1559" w:type="dxa"/>
            <w:shd w:val="clear" w:color="auto" w:fill="auto"/>
          </w:tcPr>
          <w:p w:rsidR="000211FD" w:rsidRPr="00EB1761" w:rsidRDefault="000211FD" w:rsidP="00E553C3">
            <w:pPr>
              <w:widowControl w:val="0"/>
              <w:suppressAutoHyphens/>
              <w:snapToGrid w:val="0"/>
              <w:jc w:val="center"/>
              <w:rPr>
                <w:sz w:val="28"/>
                <w:szCs w:val="28"/>
                <w:u w:val="double"/>
                <w:lang w:eastAsia="ar-SA"/>
              </w:rPr>
            </w:pPr>
            <w:r w:rsidRPr="00EB1761">
              <w:rPr>
                <w:sz w:val="28"/>
                <w:szCs w:val="28"/>
                <w:lang w:eastAsia="ar-SA"/>
              </w:rPr>
              <w:t xml:space="preserve">  </w:t>
            </w:r>
            <w:r w:rsidR="00874B42" w:rsidRPr="00874B42">
              <w:rPr>
                <w:sz w:val="28"/>
                <w:szCs w:val="28"/>
                <w:u w:val="double"/>
                <w:lang w:eastAsia="ar-SA"/>
              </w:rPr>
              <w:t>€ 2.245</w:t>
            </w:r>
          </w:p>
        </w:tc>
      </w:tr>
    </w:tbl>
    <w:p w:rsidR="00874B42" w:rsidRDefault="00874B42" w:rsidP="000211FD">
      <w:pPr>
        <w:widowControl w:val="0"/>
        <w:tabs>
          <w:tab w:val="left" w:pos="1134"/>
          <w:tab w:val="left" w:pos="8505"/>
        </w:tabs>
        <w:suppressAutoHyphens/>
        <w:ind w:right="873"/>
        <w:jc w:val="both"/>
        <w:rPr>
          <w:sz w:val="28"/>
          <w:szCs w:val="28"/>
          <w:lang w:eastAsia="ar-SA"/>
        </w:rPr>
      </w:pPr>
    </w:p>
    <w:p w:rsidR="000211FD" w:rsidRPr="00874B42" w:rsidRDefault="000211FD" w:rsidP="000211FD">
      <w:pPr>
        <w:widowControl w:val="0"/>
        <w:tabs>
          <w:tab w:val="left" w:pos="1134"/>
          <w:tab w:val="left" w:pos="8505"/>
        </w:tabs>
        <w:suppressAutoHyphens/>
        <w:ind w:right="873"/>
        <w:jc w:val="both"/>
        <w:rPr>
          <w:sz w:val="28"/>
          <w:szCs w:val="28"/>
          <w:u w:val="single"/>
          <w:lang w:eastAsia="ar-SA"/>
        </w:rPr>
      </w:pPr>
      <w:r w:rsidRPr="00874B42">
        <w:rPr>
          <w:sz w:val="28"/>
          <w:szCs w:val="28"/>
          <w:u w:val="single"/>
          <w:lang w:eastAsia="ar-SA"/>
        </w:rPr>
        <w:lastRenderedPageBreak/>
        <w:t>LE VALUTAZIONI DELLE ALTRE VOCI</w:t>
      </w:r>
    </w:p>
    <w:p w:rsidR="00874B42" w:rsidRDefault="000211FD" w:rsidP="008A337E">
      <w:pPr>
        <w:widowControl w:val="0"/>
        <w:tabs>
          <w:tab w:val="left" w:pos="8080"/>
        </w:tabs>
        <w:suppressAutoHyphens/>
        <w:ind w:right="425" w:firstLine="708"/>
        <w:jc w:val="both"/>
        <w:rPr>
          <w:sz w:val="28"/>
          <w:szCs w:val="28"/>
          <w:lang w:eastAsia="ar-SA"/>
        </w:rPr>
      </w:pPr>
      <w:r w:rsidRPr="00874B42">
        <w:rPr>
          <w:b/>
          <w:i/>
          <w:sz w:val="28"/>
          <w:szCs w:val="28"/>
          <w:lang w:eastAsia="ar-SA"/>
        </w:rPr>
        <w:t>I crediti</w:t>
      </w:r>
      <w:r w:rsidRPr="00EB1761">
        <w:rPr>
          <w:sz w:val="28"/>
          <w:szCs w:val="28"/>
          <w:lang w:eastAsia="ar-SA"/>
        </w:rPr>
        <w:t xml:space="preserve"> alla data di chiusura dell’esercizio 201</w:t>
      </w:r>
      <w:r w:rsidR="00874B42">
        <w:rPr>
          <w:sz w:val="28"/>
          <w:szCs w:val="28"/>
          <w:lang w:eastAsia="ar-SA"/>
        </w:rPr>
        <w:t>5, sono rappresentai nel modo seguente:</w:t>
      </w:r>
    </w:p>
    <w:p w:rsidR="00874B42" w:rsidRDefault="00874B42" w:rsidP="00874B42">
      <w:pPr>
        <w:widowControl w:val="0"/>
        <w:tabs>
          <w:tab w:val="left" w:pos="8080"/>
        </w:tabs>
        <w:suppressAutoHyphens/>
        <w:ind w:right="425"/>
        <w:jc w:val="center"/>
        <w:rPr>
          <w:sz w:val="28"/>
          <w:szCs w:val="28"/>
          <w:lang w:eastAsia="ar-SA"/>
        </w:rPr>
      </w:pPr>
      <w:r w:rsidRPr="00874B42">
        <w:rPr>
          <w:noProof/>
        </w:rPr>
        <w:drawing>
          <wp:inline distT="0" distB="0" distL="0" distR="0">
            <wp:extent cx="5629275" cy="3333750"/>
            <wp:effectExtent l="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9275" cy="3333750"/>
                    </a:xfrm>
                    <a:prstGeom prst="rect">
                      <a:avLst/>
                    </a:prstGeom>
                    <a:noFill/>
                    <a:ln>
                      <a:noFill/>
                    </a:ln>
                  </pic:spPr>
                </pic:pic>
              </a:graphicData>
            </a:graphic>
          </wp:inline>
        </w:drawing>
      </w:r>
    </w:p>
    <w:p w:rsidR="00874B42" w:rsidRPr="00874B42" w:rsidRDefault="00874B42" w:rsidP="008A337E">
      <w:pPr>
        <w:widowControl w:val="0"/>
        <w:tabs>
          <w:tab w:val="left" w:pos="8080"/>
        </w:tabs>
        <w:suppressAutoHyphens/>
        <w:ind w:right="425" w:firstLine="708"/>
        <w:jc w:val="both"/>
        <w:rPr>
          <w:sz w:val="28"/>
          <w:szCs w:val="28"/>
          <w:lang w:eastAsia="ar-SA"/>
        </w:rPr>
      </w:pPr>
      <w:r>
        <w:rPr>
          <w:b/>
          <w:i/>
          <w:sz w:val="28"/>
          <w:szCs w:val="28"/>
          <w:lang w:eastAsia="ar-SA"/>
        </w:rPr>
        <w:t xml:space="preserve">Il Patrimonio netto, </w:t>
      </w:r>
      <w:r w:rsidRPr="00874B42">
        <w:rPr>
          <w:sz w:val="28"/>
          <w:szCs w:val="28"/>
          <w:lang w:eastAsia="ar-SA"/>
        </w:rPr>
        <w:t>è così composto;</w:t>
      </w:r>
    </w:p>
    <w:p w:rsidR="00874B42" w:rsidRDefault="00874B42" w:rsidP="00874B42">
      <w:pPr>
        <w:widowControl w:val="0"/>
        <w:tabs>
          <w:tab w:val="left" w:pos="8080"/>
        </w:tabs>
        <w:suppressAutoHyphens/>
        <w:ind w:right="425"/>
        <w:jc w:val="center"/>
        <w:rPr>
          <w:b/>
          <w:i/>
          <w:sz w:val="28"/>
          <w:szCs w:val="28"/>
          <w:lang w:eastAsia="ar-SA"/>
        </w:rPr>
      </w:pPr>
      <w:r w:rsidRPr="00874B42">
        <w:rPr>
          <w:noProof/>
        </w:rPr>
        <w:drawing>
          <wp:inline distT="0" distB="0" distL="0" distR="0">
            <wp:extent cx="5629275" cy="1314450"/>
            <wp:effectExtent l="0" t="0" r="952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9275" cy="1314450"/>
                    </a:xfrm>
                    <a:prstGeom prst="rect">
                      <a:avLst/>
                    </a:prstGeom>
                    <a:noFill/>
                    <a:ln>
                      <a:noFill/>
                    </a:ln>
                  </pic:spPr>
                </pic:pic>
              </a:graphicData>
            </a:graphic>
          </wp:inline>
        </w:drawing>
      </w:r>
    </w:p>
    <w:p w:rsidR="00874B42" w:rsidRDefault="00874B42" w:rsidP="008A337E">
      <w:pPr>
        <w:widowControl w:val="0"/>
        <w:tabs>
          <w:tab w:val="left" w:pos="8080"/>
        </w:tabs>
        <w:suppressAutoHyphens/>
        <w:ind w:right="425" w:firstLine="708"/>
        <w:jc w:val="both"/>
        <w:rPr>
          <w:b/>
          <w:i/>
          <w:sz w:val="28"/>
          <w:szCs w:val="28"/>
          <w:lang w:eastAsia="ar-SA"/>
        </w:rPr>
      </w:pPr>
    </w:p>
    <w:p w:rsidR="00874B42" w:rsidRDefault="000211FD" w:rsidP="008A337E">
      <w:pPr>
        <w:widowControl w:val="0"/>
        <w:tabs>
          <w:tab w:val="left" w:pos="8080"/>
        </w:tabs>
        <w:suppressAutoHyphens/>
        <w:ind w:right="425" w:firstLine="708"/>
        <w:jc w:val="both"/>
        <w:rPr>
          <w:sz w:val="28"/>
          <w:szCs w:val="28"/>
          <w:lang w:eastAsia="ar-SA"/>
        </w:rPr>
      </w:pPr>
      <w:r w:rsidRPr="00874B42">
        <w:rPr>
          <w:b/>
          <w:i/>
          <w:sz w:val="28"/>
          <w:szCs w:val="28"/>
          <w:lang w:eastAsia="ar-SA"/>
        </w:rPr>
        <w:t>I debiti</w:t>
      </w:r>
      <w:r w:rsidRPr="008A337E">
        <w:rPr>
          <w:sz w:val="28"/>
          <w:szCs w:val="28"/>
          <w:lang w:eastAsia="ar-SA"/>
        </w:rPr>
        <w:t xml:space="preserve"> alla data</w:t>
      </w:r>
      <w:r w:rsidR="00874B42">
        <w:rPr>
          <w:sz w:val="28"/>
          <w:szCs w:val="28"/>
          <w:lang w:eastAsia="ar-SA"/>
        </w:rPr>
        <w:t xml:space="preserve"> di chiusura dell’esercizio 2015, sono rappresentati come segue:</w:t>
      </w:r>
    </w:p>
    <w:p w:rsidR="00874B42" w:rsidRDefault="00874B42" w:rsidP="00874B42">
      <w:pPr>
        <w:widowControl w:val="0"/>
        <w:tabs>
          <w:tab w:val="left" w:pos="8080"/>
        </w:tabs>
        <w:suppressAutoHyphens/>
        <w:ind w:right="425"/>
        <w:jc w:val="center"/>
        <w:rPr>
          <w:sz w:val="28"/>
          <w:szCs w:val="28"/>
          <w:lang w:eastAsia="ar-SA"/>
        </w:rPr>
      </w:pPr>
      <w:r w:rsidRPr="00874B42">
        <w:rPr>
          <w:noProof/>
        </w:rPr>
        <w:drawing>
          <wp:inline distT="0" distB="0" distL="0" distR="0">
            <wp:extent cx="5629275" cy="1657350"/>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9275" cy="1657350"/>
                    </a:xfrm>
                    <a:prstGeom prst="rect">
                      <a:avLst/>
                    </a:prstGeom>
                    <a:noFill/>
                    <a:ln>
                      <a:noFill/>
                    </a:ln>
                  </pic:spPr>
                </pic:pic>
              </a:graphicData>
            </a:graphic>
          </wp:inline>
        </w:drawing>
      </w:r>
    </w:p>
    <w:p w:rsidR="00874B42" w:rsidRDefault="00874B42" w:rsidP="008A337E">
      <w:pPr>
        <w:widowControl w:val="0"/>
        <w:tabs>
          <w:tab w:val="left" w:pos="8080"/>
        </w:tabs>
        <w:suppressAutoHyphens/>
        <w:ind w:right="425" w:firstLine="708"/>
        <w:jc w:val="both"/>
        <w:rPr>
          <w:b/>
          <w:i/>
          <w:sz w:val="28"/>
          <w:szCs w:val="28"/>
          <w:lang w:eastAsia="ar-SA"/>
        </w:rPr>
      </w:pPr>
    </w:p>
    <w:p w:rsidR="00874B42" w:rsidRDefault="00874B42" w:rsidP="008A337E">
      <w:pPr>
        <w:widowControl w:val="0"/>
        <w:tabs>
          <w:tab w:val="left" w:pos="8080"/>
        </w:tabs>
        <w:suppressAutoHyphens/>
        <w:ind w:right="425" w:firstLine="708"/>
        <w:jc w:val="both"/>
        <w:rPr>
          <w:b/>
          <w:i/>
          <w:sz w:val="28"/>
          <w:szCs w:val="28"/>
          <w:lang w:eastAsia="ar-SA"/>
        </w:rPr>
      </w:pPr>
    </w:p>
    <w:p w:rsidR="00874B42" w:rsidRDefault="00874B42" w:rsidP="008A337E">
      <w:pPr>
        <w:widowControl w:val="0"/>
        <w:tabs>
          <w:tab w:val="left" w:pos="8080"/>
        </w:tabs>
        <w:suppressAutoHyphens/>
        <w:ind w:right="425" w:firstLine="708"/>
        <w:jc w:val="both"/>
        <w:rPr>
          <w:b/>
          <w:i/>
          <w:sz w:val="28"/>
          <w:szCs w:val="28"/>
          <w:lang w:eastAsia="ar-SA"/>
        </w:rPr>
      </w:pPr>
    </w:p>
    <w:p w:rsidR="00874B42" w:rsidRDefault="00874B42" w:rsidP="008A337E">
      <w:pPr>
        <w:widowControl w:val="0"/>
        <w:tabs>
          <w:tab w:val="left" w:pos="8080"/>
        </w:tabs>
        <w:suppressAutoHyphens/>
        <w:ind w:right="425" w:firstLine="708"/>
        <w:jc w:val="both"/>
        <w:rPr>
          <w:sz w:val="28"/>
          <w:szCs w:val="28"/>
          <w:lang w:eastAsia="ar-SA"/>
        </w:rPr>
      </w:pPr>
      <w:r w:rsidRPr="00874B42">
        <w:rPr>
          <w:b/>
          <w:i/>
          <w:sz w:val="28"/>
          <w:szCs w:val="28"/>
          <w:lang w:eastAsia="ar-SA"/>
        </w:rPr>
        <w:lastRenderedPageBreak/>
        <w:t>Il Conto Economico</w:t>
      </w:r>
      <w:r>
        <w:rPr>
          <w:sz w:val="28"/>
          <w:szCs w:val="28"/>
          <w:lang w:eastAsia="ar-SA"/>
        </w:rPr>
        <w:t xml:space="preserve">, è </w:t>
      </w:r>
      <w:proofErr w:type="spellStart"/>
      <w:r>
        <w:rPr>
          <w:sz w:val="28"/>
          <w:szCs w:val="28"/>
          <w:lang w:eastAsia="ar-SA"/>
        </w:rPr>
        <w:t>afferibile</w:t>
      </w:r>
      <w:proofErr w:type="spellEnd"/>
      <w:r>
        <w:rPr>
          <w:sz w:val="28"/>
          <w:szCs w:val="28"/>
          <w:lang w:eastAsia="ar-SA"/>
        </w:rPr>
        <w:t xml:space="preserve"> alle seguenti categorie di ricavi e di costi:</w:t>
      </w:r>
    </w:p>
    <w:p w:rsidR="00874B42" w:rsidRDefault="00874B42" w:rsidP="00874B42">
      <w:pPr>
        <w:widowControl w:val="0"/>
        <w:tabs>
          <w:tab w:val="left" w:pos="8080"/>
        </w:tabs>
        <w:suppressAutoHyphens/>
        <w:ind w:right="425"/>
        <w:jc w:val="both"/>
        <w:rPr>
          <w:sz w:val="28"/>
          <w:szCs w:val="28"/>
          <w:lang w:eastAsia="ar-SA"/>
        </w:rPr>
      </w:pPr>
      <w:r w:rsidRPr="00874B42">
        <w:rPr>
          <w:noProof/>
        </w:rPr>
        <w:drawing>
          <wp:inline distT="0" distB="0" distL="0" distR="0" wp14:anchorId="6028519E" wp14:editId="05CFFE95">
            <wp:extent cx="6120731" cy="82296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8228792"/>
                    </a:xfrm>
                    <a:prstGeom prst="rect">
                      <a:avLst/>
                    </a:prstGeom>
                    <a:noFill/>
                    <a:ln>
                      <a:noFill/>
                    </a:ln>
                  </pic:spPr>
                </pic:pic>
              </a:graphicData>
            </a:graphic>
          </wp:inline>
        </w:drawing>
      </w:r>
    </w:p>
    <w:p w:rsidR="00874B42" w:rsidRDefault="00874B42" w:rsidP="00874B42">
      <w:pPr>
        <w:widowControl w:val="0"/>
        <w:tabs>
          <w:tab w:val="left" w:pos="8080"/>
        </w:tabs>
        <w:suppressAutoHyphens/>
        <w:ind w:right="425"/>
        <w:jc w:val="both"/>
        <w:rPr>
          <w:sz w:val="28"/>
          <w:szCs w:val="28"/>
          <w:lang w:eastAsia="ar-SA"/>
        </w:rPr>
      </w:pPr>
      <w:r w:rsidRPr="00874B42">
        <w:rPr>
          <w:noProof/>
        </w:rPr>
        <w:lastRenderedPageBreak/>
        <w:drawing>
          <wp:inline distT="0" distB="0" distL="0" distR="0" wp14:anchorId="48706ACA" wp14:editId="1BBD95E9">
            <wp:extent cx="6120130" cy="6276424"/>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6276424"/>
                    </a:xfrm>
                    <a:prstGeom prst="rect">
                      <a:avLst/>
                    </a:prstGeom>
                    <a:noFill/>
                    <a:ln>
                      <a:noFill/>
                    </a:ln>
                  </pic:spPr>
                </pic:pic>
              </a:graphicData>
            </a:graphic>
          </wp:inline>
        </w:drawing>
      </w:r>
    </w:p>
    <w:p w:rsidR="00874B42" w:rsidRDefault="00874B42" w:rsidP="008A337E">
      <w:pPr>
        <w:widowControl w:val="0"/>
        <w:tabs>
          <w:tab w:val="left" w:pos="8080"/>
        </w:tabs>
        <w:suppressAutoHyphens/>
        <w:ind w:right="425" w:firstLine="708"/>
        <w:jc w:val="both"/>
        <w:rPr>
          <w:sz w:val="28"/>
          <w:szCs w:val="28"/>
          <w:lang w:eastAsia="ar-SA"/>
        </w:rPr>
      </w:pPr>
    </w:p>
    <w:p w:rsidR="000211FD" w:rsidRPr="00EB1761" w:rsidRDefault="000211FD" w:rsidP="000211FD">
      <w:pPr>
        <w:widowControl w:val="0"/>
        <w:suppressAutoHyphens/>
        <w:ind w:right="283"/>
        <w:jc w:val="both"/>
        <w:rPr>
          <w:sz w:val="28"/>
          <w:szCs w:val="28"/>
          <w:lang w:eastAsia="ar-SA"/>
        </w:rPr>
      </w:pPr>
      <w:r w:rsidRPr="00874B42">
        <w:rPr>
          <w:b/>
          <w:i/>
          <w:sz w:val="28"/>
          <w:szCs w:val="28"/>
          <w:lang w:eastAsia="ar-SA"/>
        </w:rPr>
        <w:t>Il capitale social</w:t>
      </w:r>
      <w:r w:rsidRPr="00EB1761">
        <w:rPr>
          <w:sz w:val="28"/>
          <w:szCs w:val="28"/>
          <w:lang w:eastAsia="ar-SA"/>
        </w:rPr>
        <w:t xml:space="preserve">e e formato da quote nominali  €. 10.000,00 e interamente versato </w:t>
      </w:r>
    </w:p>
    <w:p w:rsidR="000211FD" w:rsidRPr="00EB1761" w:rsidRDefault="000211FD" w:rsidP="000211FD">
      <w:pPr>
        <w:widowControl w:val="0"/>
        <w:suppressAutoHyphens/>
        <w:ind w:right="283"/>
        <w:jc w:val="both"/>
        <w:rPr>
          <w:sz w:val="28"/>
          <w:szCs w:val="28"/>
          <w:lang w:eastAsia="ar-SA"/>
        </w:rPr>
      </w:pPr>
      <w:r w:rsidRPr="00874B42">
        <w:rPr>
          <w:b/>
          <w:i/>
          <w:sz w:val="28"/>
          <w:szCs w:val="28"/>
          <w:lang w:eastAsia="ar-SA"/>
        </w:rPr>
        <w:t>L’amministratore unico</w:t>
      </w:r>
      <w:r w:rsidRPr="00EB1761">
        <w:rPr>
          <w:sz w:val="28"/>
          <w:szCs w:val="28"/>
          <w:lang w:eastAsia="ar-SA"/>
        </w:rPr>
        <w:t xml:space="preserve"> percepisce compenso pari ad € 800,00 mensile oltre iva e cassa </w:t>
      </w:r>
    </w:p>
    <w:p w:rsidR="000211FD" w:rsidRPr="00EB1761" w:rsidRDefault="000211FD" w:rsidP="000211FD">
      <w:pPr>
        <w:suppressAutoHyphens/>
        <w:ind w:left="142" w:right="873"/>
        <w:jc w:val="both"/>
        <w:rPr>
          <w:sz w:val="28"/>
          <w:szCs w:val="28"/>
          <w:lang w:eastAsia="ar-SA"/>
        </w:rPr>
      </w:pPr>
      <w:r w:rsidRPr="00EB1761">
        <w:rPr>
          <w:sz w:val="28"/>
          <w:szCs w:val="28"/>
          <w:lang w:eastAsia="ar-SA"/>
        </w:rPr>
        <w:t xml:space="preserve">                                                                                       </w:t>
      </w:r>
    </w:p>
    <w:p w:rsidR="000211FD" w:rsidRPr="00A742A0" w:rsidRDefault="000211FD" w:rsidP="000211FD">
      <w:pPr>
        <w:widowControl w:val="0"/>
        <w:suppressAutoHyphens/>
        <w:ind w:right="873"/>
        <w:jc w:val="both"/>
        <w:rPr>
          <w:sz w:val="12"/>
          <w:szCs w:val="12"/>
          <w:lang w:eastAsia="ar-SA"/>
        </w:rPr>
      </w:pPr>
      <w:r w:rsidRPr="00A742A0">
        <w:rPr>
          <w:sz w:val="12"/>
          <w:szCs w:val="12"/>
          <w:lang w:eastAsia="ar-SA"/>
        </w:rPr>
        <w:t>Imposta di bollo assolta in modo virtuale tramite la Camera di Commercio di Salerno autorizzazione n° 14811 del 05.11.2001 emanata dall’Agenzia delle Entrate di Salerno”</w:t>
      </w:r>
    </w:p>
    <w:p w:rsidR="000211FD" w:rsidRPr="00A742A0" w:rsidRDefault="000211FD" w:rsidP="000211FD">
      <w:pPr>
        <w:widowControl w:val="0"/>
        <w:suppressAutoHyphens/>
        <w:ind w:right="873"/>
        <w:jc w:val="both"/>
        <w:rPr>
          <w:sz w:val="12"/>
          <w:szCs w:val="12"/>
          <w:lang w:eastAsia="ar-SA"/>
        </w:rPr>
      </w:pPr>
      <w:r w:rsidRPr="00A742A0">
        <w:rPr>
          <w:sz w:val="12"/>
          <w:szCs w:val="12"/>
          <w:lang w:eastAsia="ar-SA"/>
        </w:rPr>
        <w:t>Copia su  supporto informatico conforme all’originale, documento su supporto cartaceo ai sensi degli Art.21, primo comma, 38, secondo comma, 47 terzo comma e 76 del decreto del Presidente della Repubblica  28 Dicembre 2000, n. 445, e successive integrazioni e modificazioni.</w:t>
      </w:r>
    </w:p>
    <w:p w:rsidR="000211FD" w:rsidRPr="00A742A0" w:rsidRDefault="000211FD" w:rsidP="000211FD">
      <w:pPr>
        <w:suppressAutoHyphens/>
        <w:ind w:right="873"/>
        <w:jc w:val="both"/>
        <w:rPr>
          <w:sz w:val="12"/>
          <w:szCs w:val="12"/>
          <w:lang w:eastAsia="ar-SA"/>
        </w:rPr>
      </w:pPr>
      <w:r w:rsidRPr="00A742A0">
        <w:rPr>
          <w:sz w:val="12"/>
          <w:szCs w:val="12"/>
          <w:lang w:eastAsia="ar-SA"/>
        </w:rPr>
        <w:t xml:space="preserve">La pratica telematica presentata dal sottoscritto dottore commercialista, iscritto nell’albo della provincia di Salerno al n. 1136A, non sussistendo nei suoi confronti provvedimenti disciplinari che ne impediscano l’esercizio della professione, quale incaricato dai legali rappresentanti della società ,ai sensi dell’art.2 comma 54 della legge 24 dicembre 2003, n.350.          </w:t>
      </w:r>
    </w:p>
    <w:p w:rsidR="000211FD" w:rsidRPr="00A742A0" w:rsidRDefault="000211FD" w:rsidP="000211FD">
      <w:pPr>
        <w:widowControl w:val="0"/>
        <w:suppressAutoHyphens/>
        <w:ind w:right="873"/>
        <w:jc w:val="both"/>
        <w:rPr>
          <w:sz w:val="12"/>
          <w:szCs w:val="12"/>
          <w:lang w:eastAsia="ar-SA"/>
        </w:rPr>
      </w:pPr>
      <w:r w:rsidRPr="00A742A0">
        <w:rPr>
          <w:sz w:val="12"/>
          <w:szCs w:val="12"/>
          <w:lang w:eastAsia="ar-SA"/>
        </w:rPr>
        <w:t xml:space="preserve">il documento informatico in formato XBRL contenente lo stato patrimoniale, il conto economico e la presente nota integrativa sono conformi ai corrispondenti documenti originali depositati presso la sede della società. </w:t>
      </w:r>
    </w:p>
    <w:p w:rsidR="000211FD" w:rsidRPr="00A742A0" w:rsidRDefault="000211FD" w:rsidP="000211FD">
      <w:pPr>
        <w:suppressAutoHyphens/>
        <w:ind w:left="142" w:right="873"/>
        <w:jc w:val="center"/>
        <w:rPr>
          <w:sz w:val="12"/>
          <w:szCs w:val="12"/>
          <w:lang w:eastAsia="ar-SA"/>
        </w:rPr>
      </w:pPr>
    </w:p>
    <w:p w:rsidR="00A93C27" w:rsidRPr="00A93C27" w:rsidRDefault="00A93C27" w:rsidP="00905CD4">
      <w:pPr>
        <w:spacing w:line="360" w:lineRule="auto"/>
        <w:jc w:val="both"/>
        <w:rPr>
          <w:i/>
        </w:rPr>
      </w:pPr>
      <w:r w:rsidRPr="00A93C27">
        <w:rPr>
          <w:i/>
        </w:rPr>
        <w:t xml:space="preserve">Bellizzi, lì </w:t>
      </w:r>
      <w:r w:rsidR="00A742A0">
        <w:rPr>
          <w:i/>
        </w:rPr>
        <w:t>28</w:t>
      </w:r>
      <w:r w:rsidRPr="00A93C27">
        <w:rPr>
          <w:i/>
        </w:rPr>
        <w:t>Aprile 201</w:t>
      </w:r>
      <w:r w:rsidR="00A742A0">
        <w:rPr>
          <w:i/>
        </w:rPr>
        <w:t>6</w:t>
      </w:r>
    </w:p>
    <w:p w:rsidR="00A93C27" w:rsidRDefault="00860CDA" w:rsidP="00905CD4">
      <w:pPr>
        <w:spacing w:line="360" w:lineRule="auto"/>
        <w:ind w:firstLine="708"/>
        <w:jc w:val="both"/>
      </w:pPr>
      <w:r>
        <w:tab/>
      </w:r>
      <w:r>
        <w:tab/>
      </w:r>
      <w:r>
        <w:tab/>
      </w:r>
      <w:r>
        <w:tab/>
      </w:r>
      <w:r>
        <w:tab/>
        <w:t xml:space="preserve"> </w:t>
      </w:r>
      <w:r w:rsidR="00A93C27">
        <w:t>L’AMMINISTRATORE UNICO</w:t>
      </w:r>
    </w:p>
    <w:sectPr w:rsidR="00A93C27" w:rsidSect="00874B42">
      <w:headerReference w:type="default" r:id="rId15"/>
      <w:footerReference w:type="default" r:id="rId16"/>
      <w:pgSz w:w="11906" w:h="16838" w:code="9"/>
      <w:pgMar w:top="212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426" w:rsidRDefault="00714426">
      <w:r>
        <w:separator/>
      </w:r>
    </w:p>
  </w:endnote>
  <w:endnote w:type="continuationSeparator" w:id="0">
    <w:p w:rsidR="00714426" w:rsidRDefault="0071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182"/>
      <w:docPartObj>
        <w:docPartGallery w:val="Page Numbers (Bottom of Page)"/>
        <w:docPartUnique/>
      </w:docPartObj>
    </w:sdtPr>
    <w:sdtEndPr/>
    <w:sdtContent>
      <w:p w:rsidR="006A6E98" w:rsidRDefault="00476CD1">
        <w:pPr>
          <w:pStyle w:val="Pidipagina"/>
          <w:jc w:val="right"/>
        </w:pPr>
        <w:r>
          <w:fldChar w:fldCharType="begin"/>
        </w:r>
        <w:r w:rsidR="0075083A">
          <w:instrText xml:space="preserve"> PAGE   \* MERGEFORMAT </w:instrText>
        </w:r>
        <w:r>
          <w:fldChar w:fldCharType="separate"/>
        </w:r>
        <w:r w:rsidR="00BD4898">
          <w:rPr>
            <w:noProof/>
          </w:rPr>
          <w:t>1</w:t>
        </w:r>
        <w:r>
          <w:rPr>
            <w:noProof/>
          </w:rPr>
          <w:fldChar w:fldCharType="end"/>
        </w:r>
      </w:p>
    </w:sdtContent>
  </w:sdt>
  <w:p w:rsidR="006A6E98" w:rsidRPr="00A84C29" w:rsidRDefault="006A6E98" w:rsidP="00A84C2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426" w:rsidRDefault="00714426">
      <w:r>
        <w:separator/>
      </w:r>
    </w:p>
  </w:footnote>
  <w:footnote w:type="continuationSeparator" w:id="0">
    <w:p w:rsidR="00714426" w:rsidRDefault="00714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98" w:rsidRDefault="006A6E98" w:rsidP="005016C2">
    <w:pPr>
      <w:autoSpaceDE w:val="0"/>
      <w:autoSpaceDN w:val="0"/>
      <w:adjustRightInd w:val="0"/>
      <w:jc w:val="center"/>
      <w:rPr>
        <w:rFonts w:ascii="Helvetica-Bold" w:hAnsi="Helvetica-Bold" w:cs="Helvetica-Bold"/>
        <w:b/>
        <w:bCs/>
        <w:sz w:val="28"/>
        <w:szCs w:val="28"/>
      </w:rPr>
    </w:pPr>
    <w:r w:rsidRPr="00CB592A">
      <w:rPr>
        <w:rFonts w:ascii="Arial" w:hAnsi="Arial" w:cs="Arial"/>
        <w:b/>
        <w:bCs/>
      </w:rPr>
      <w:t>"</w:t>
    </w:r>
    <w:r>
      <w:rPr>
        <w:rFonts w:ascii="Helvetica-Bold" w:hAnsi="Helvetica-Bold" w:cs="Helvetica-Bold"/>
        <w:b/>
        <w:bCs/>
        <w:sz w:val="28"/>
        <w:szCs w:val="28"/>
      </w:rPr>
      <w:t>COOPERAZIONE &amp; RINASCITA SRL</w:t>
    </w:r>
  </w:p>
  <w:p w:rsidR="006A6E98" w:rsidRPr="00CB592A" w:rsidRDefault="006A6E98" w:rsidP="005016C2">
    <w:pPr>
      <w:autoSpaceDE w:val="0"/>
      <w:autoSpaceDN w:val="0"/>
      <w:adjustRightInd w:val="0"/>
      <w:jc w:val="center"/>
      <w:rPr>
        <w:i/>
        <w:sz w:val="18"/>
        <w:szCs w:val="18"/>
      </w:rPr>
    </w:pPr>
    <w:r>
      <w:rPr>
        <w:rFonts w:ascii="Helvetica" w:hAnsi="Helvetica" w:cs="Helvetica"/>
        <w:sz w:val="20"/>
        <w:szCs w:val="20"/>
      </w:rPr>
      <w:t xml:space="preserve">Sede in BELLIZZI </w:t>
    </w:r>
    <w:r w:rsidR="00CB2222">
      <w:rPr>
        <w:rFonts w:ascii="Helvetica" w:hAnsi="Helvetica" w:cs="Helvetica"/>
        <w:sz w:val="20"/>
        <w:szCs w:val="20"/>
      </w:rPr>
      <w:t>–</w:t>
    </w:r>
    <w:r>
      <w:rPr>
        <w:rFonts w:ascii="Helvetica" w:hAnsi="Helvetica" w:cs="Helvetica"/>
        <w:sz w:val="20"/>
        <w:szCs w:val="20"/>
      </w:rPr>
      <w:t xml:space="preserve"> </w:t>
    </w:r>
    <w:r w:rsidR="00CB2222">
      <w:rPr>
        <w:rFonts w:ascii="Helvetica" w:hAnsi="Helvetica" w:cs="Helvetica"/>
        <w:sz w:val="20"/>
        <w:szCs w:val="20"/>
      </w:rPr>
      <w:t>VIA MANI</w:t>
    </w:r>
    <w:r w:rsidR="00F23E0F">
      <w:rPr>
        <w:rFonts w:ascii="Helvetica" w:hAnsi="Helvetica" w:cs="Helvetica"/>
        <w:sz w:val="20"/>
        <w:szCs w:val="20"/>
      </w:rPr>
      <w:t>N</w:t>
    </w:r>
    <w:r w:rsidR="00CB2222">
      <w:rPr>
        <w:rFonts w:ascii="Helvetica" w:hAnsi="Helvetica" w:cs="Helvetica"/>
        <w:sz w:val="20"/>
        <w:szCs w:val="20"/>
      </w:rPr>
      <w:t xml:space="preserve"> 23, </w:t>
    </w:r>
    <w:r>
      <w:rPr>
        <w:rFonts w:ascii="Helvetica" w:hAnsi="Helvetica" w:cs="Helvetica"/>
        <w:sz w:val="20"/>
        <w:szCs w:val="20"/>
      </w:rPr>
      <w:t>Capitale Sociale versato Euro 10.000,00 Iscritto alla C.C.I.A.A. di SALERNO</w:t>
    </w:r>
    <w:r w:rsidR="00CB2222">
      <w:rPr>
        <w:rFonts w:ascii="Helvetica" w:hAnsi="Helvetica" w:cs="Helvetica"/>
        <w:sz w:val="20"/>
        <w:szCs w:val="20"/>
      </w:rPr>
      <w:t>, C.F. e P.I. 05288720658, REA SA424706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09E965B6"/>
    <w:multiLevelType w:val="hybridMultilevel"/>
    <w:tmpl w:val="8F6A7C68"/>
    <w:lvl w:ilvl="0" w:tplc="165AD16C">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6CE"/>
    <w:rsid w:val="000021DE"/>
    <w:rsid w:val="000030D8"/>
    <w:rsid w:val="00003553"/>
    <w:rsid w:val="0000533B"/>
    <w:rsid w:val="00006287"/>
    <w:rsid w:val="0001370E"/>
    <w:rsid w:val="00013ED9"/>
    <w:rsid w:val="0001416A"/>
    <w:rsid w:val="000211FD"/>
    <w:rsid w:val="00025495"/>
    <w:rsid w:val="00026A8F"/>
    <w:rsid w:val="00031B6F"/>
    <w:rsid w:val="000439E4"/>
    <w:rsid w:val="0004496E"/>
    <w:rsid w:val="00046D75"/>
    <w:rsid w:val="00050432"/>
    <w:rsid w:val="000619CE"/>
    <w:rsid w:val="00061B2D"/>
    <w:rsid w:val="00071335"/>
    <w:rsid w:val="00071D5A"/>
    <w:rsid w:val="00072E5C"/>
    <w:rsid w:val="00087EE2"/>
    <w:rsid w:val="00093A89"/>
    <w:rsid w:val="00094F61"/>
    <w:rsid w:val="00096574"/>
    <w:rsid w:val="000A0172"/>
    <w:rsid w:val="000A04F2"/>
    <w:rsid w:val="000A158A"/>
    <w:rsid w:val="000A4002"/>
    <w:rsid w:val="000A49DE"/>
    <w:rsid w:val="000D0564"/>
    <w:rsid w:val="000D3E42"/>
    <w:rsid w:val="000E18CB"/>
    <w:rsid w:val="000E1D32"/>
    <w:rsid w:val="000E2D14"/>
    <w:rsid w:val="000F412C"/>
    <w:rsid w:val="000F574C"/>
    <w:rsid w:val="0010213F"/>
    <w:rsid w:val="001026B0"/>
    <w:rsid w:val="001034E8"/>
    <w:rsid w:val="00105CAE"/>
    <w:rsid w:val="00114ADA"/>
    <w:rsid w:val="001159F5"/>
    <w:rsid w:val="00120783"/>
    <w:rsid w:val="0012390F"/>
    <w:rsid w:val="00123CB2"/>
    <w:rsid w:val="001245D7"/>
    <w:rsid w:val="00124693"/>
    <w:rsid w:val="00125DF7"/>
    <w:rsid w:val="00132642"/>
    <w:rsid w:val="0014251B"/>
    <w:rsid w:val="00143EBF"/>
    <w:rsid w:val="0014665C"/>
    <w:rsid w:val="00146F2A"/>
    <w:rsid w:val="00153048"/>
    <w:rsid w:val="001538AB"/>
    <w:rsid w:val="0015462D"/>
    <w:rsid w:val="00162369"/>
    <w:rsid w:val="001627C3"/>
    <w:rsid w:val="001641BC"/>
    <w:rsid w:val="0016452F"/>
    <w:rsid w:val="00173596"/>
    <w:rsid w:val="001745F9"/>
    <w:rsid w:val="001858F6"/>
    <w:rsid w:val="001870F6"/>
    <w:rsid w:val="001939A4"/>
    <w:rsid w:val="00194BAE"/>
    <w:rsid w:val="00197799"/>
    <w:rsid w:val="001A413A"/>
    <w:rsid w:val="001A43C3"/>
    <w:rsid w:val="001A472C"/>
    <w:rsid w:val="001B326C"/>
    <w:rsid w:val="001B54C9"/>
    <w:rsid w:val="001C3A51"/>
    <w:rsid w:val="001C56B7"/>
    <w:rsid w:val="001C7E87"/>
    <w:rsid w:val="001D3E9A"/>
    <w:rsid w:val="001D4EEC"/>
    <w:rsid w:val="001D6C50"/>
    <w:rsid w:val="001E1270"/>
    <w:rsid w:val="001E3DEC"/>
    <w:rsid w:val="001E7031"/>
    <w:rsid w:val="001F1100"/>
    <w:rsid w:val="00206126"/>
    <w:rsid w:val="00207768"/>
    <w:rsid w:val="0021662F"/>
    <w:rsid w:val="00223EF4"/>
    <w:rsid w:val="0022524D"/>
    <w:rsid w:val="00247EC0"/>
    <w:rsid w:val="00255CE2"/>
    <w:rsid w:val="0026048B"/>
    <w:rsid w:val="00265FE6"/>
    <w:rsid w:val="0027138E"/>
    <w:rsid w:val="00286165"/>
    <w:rsid w:val="002A0D21"/>
    <w:rsid w:val="002A11DC"/>
    <w:rsid w:val="002A64C7"/>
    <w:rsid w:val="002B0556"/>
    <w:rsid w:val="002B1AD1"/>
    <w:rsid w:val="002C22EF"/>
    <w:rsid w:val="002D1244"/>
    <w:rsid w:val="002D424E"/>
    <w:rsid w:val="002D42AA"/>
    <w:rsid w:val="002D4ECC"/>
    <w:rsid w:val="002E22C0"/>
    <w:rsid w:val="002E6286"/>
    <w:rsid w:val="002F0A49"/>
    <w:rsid w:val="002F4701"/>
    <w:rsid w:val="002F4C0C"/>
    <w:rsid w:val="002F760E"/>
    <w:rsid w:val="00300C11"/>
    <w:rsid w:val="0031032C"/>
    <w:rsid w:val="00311465"/>
    <w:rsid w:val="0031218B"/>
    <w:rsid w:val="00317388"/>
    <w:rsid w:val="00323EA2"/>
    <w:rsid w:val="00324425"/>
    <w:rsid w:val="00326882"/>
    <w:rsid w:val="003311D6"/>
    <w:rsid w:val="003332AC"/>
    <w:rsid w:val="00336CF8"/>
    <w:rsid w:val="00337088"/>
    <w:rsid w:val="003403EF"/>
    <w:rsid w:val="00341AE7"/>
    <w:rsid w:val="00343EF8"/>
    <w:rsid w:val="00352CCD"/>
    <w:rsid w:val="0036288D"/>
    <w:rsid w:val="00362C26"/>
    <w:rsid w:val="00364F76"/>
    <w:rsid w:val="00364FEF"/>
    <w:rsid w:val="00366115"/>
    <w:rsid w:val="0037075B"/>
    <w:rsid w:val="00376253"/>
    <w:rsid w:val="00376BCC"/>
    <w:rsid w:val="003809A3"/>
    <w:rsid w:val="00387077"/>
    <w:rsid w:val="003A000B"/>
    <w:rsid w:val="003A0744"/>
    <w:rsid w:val="003A2425"/>
    <w:rsid w:val="003B36CC"/>
    <w:rsid w:val="003B6CE9"/>
    <w:rsid w:val="003B75EF"/>
    <w:rsid w:val="003C1E31"/>
    <w:rsid w:val="003C6E16"/>
    <w:rsid w:val="003C74BE"/>
    <w:rsid w:val="003D14D6"/>
    <w:rsid w:val="003D2A33"/>
    <w:rsid w:val="003D5ABE"/>
    <w:rsid w:val="003E6CF7"/>
    <w:rsid w:val="003F0F80"/>
    <w:rsid w:val="003F55FC"/>
    <w:rsid w:val="003F57E9"/>
    <w:rsid w:val="003F6DEE"/>
    <w:rsid w:val="004048D2"/>
    <w:rsid w:val="004057CE"/>
    <w:rsid w:val="00410DFE"/>
    <w:rsid w:val="00414D80"/>
    <w:rsid w:val="00417090"/>
    <w:rsid w:val="00433358"/>
    <w:rsid w:val="004337F5"/>
    <w:rsid w:val="004372F3"/>
    <w:rsid w:val="00440B43"/>
    <w:rsid w:val="0044323E"/>
    <w:rsid w:val="00446D20"/>
    <w:rsid w:val="00453D43"/>
    <w:rsid w:val="00454657"/>
    <w:rsid w:val="00455AD3"/>
    <w:rsid w:val="004604A1"/>
    <w:rsid w:val="004629B5"/>
    <w:rsid w:val="00465F29"/>
    <w:rsid w:val="00476CD1"/>
    <w:rsid w:val="00481BB4"/>
    <w:rsid w:val="004828B6"/>
    <w:rsid w:val="00490C2D"/>
    <w:rsid w:val="00492759"/>
    <w:rsid w:val="00494E63"/>
    <w:rsid w:val="00495980"/>
    <w:rsid w:val="004A789D"/>
    <w:rsid w:val="004B3C61"/>
    <w:rsid w:val="004B7387"/>
    <w:rsid w:val="004C65C0"/>
    <w:rsid w:val="004D011B"/>
    <w:rsid w:val="004D122C"/>
    <w:rsid w:val="004D78DC"/>
    <w:rsid w:val="004E2020"/>
    <w:rsid w:val="004E5270"/>
    <w:rsid w:val="004F1C55"/>
    <w:rsid w:val="004F4526"/>
    <w:rsid w:val="00500A0F"/>
    <w:rsid w:val="005016C2"/>
    <w:rsid w:val="00501B26"/>
    <w:rsid w:val="00503E3B"/>
    <w:rsid w:val="00507F90"/>
    <w:rsid w:val="0051051F"/>
    <w:rsid w:val="00515635"/>
    <w:rsid w:val="00521021"/>
    <w:rsid w:val="0052275F"/>
    <w:rsid w:val="00526EA9"/>
    <w:rsid w:val="00531A07"/>
    <w:rsid w:val="00531E8F"/>
    <w:rsid w:val="00533AD1"/>
    <w:rsid w:val="005341F4"/>
    <w:rsid w:val="00536C73"/>
    <w:rsid w:val="00543158"/>
    <w:rsid w:val="005502F2"/>
    <w:rsid w:val="0055095C"/>
    <w:rsid w:val="00551F13"/>
    <w:rsid w:val="00564C72"/>
    <w:rsid w:val="005654AD"/>
    <w:rsid w:val="005658C9"/>
    <w:rsid w:val="005717CB"/>
    <w:rsid w:val="00572C09"/>
    <w:rsid w:val="0057415E"/>
    <w:rsid w:val="0058374A"/>
    <w:rsid w:val="00584D13"/>
    <w:rsid w:val="00592AC6"/>
    <w:rsid w:val="005A7A8E"/>
    <w:rsid w:val="005B308B"/>
    <w:rsid w:val="005B41D6"/>
    <w:rsid w:val="005C1FF1"/>
    <w:rsid w:val="005C447B"/>
    <w:rsid w:val="005C670F"/>
    <w:rsid w:val="005C7BEE"/>
    <w:rsid w:val="005C7F14"/>
    <w:rsid w:val="005D0622"/>
    <w:rsid w:val="005D2A44"/>
    <w:rsid w:val="005D4CF9"/>
    <w:rsid w:val="005E62A9"/>
    <w:rsid w:val="005E62FB"/>
    <w:rsid w:val="005E69FC"/>
    <w:rsid w:val="005E6C44"/>
    <w:rsid w:val="005E799F"/>
    <w:rsid w:val="005F0CC9"/>
    <w:rsid w:val="005F19DF"/>
    <w:rsid w:val="005F2BE9"/>
    <w:rsid w:val="005F571C"/>
    <w:rsid w:val="005F6D5A"/>
    <w:rsid w:val="005F6FD9"/>
    <w:rsid w:val="00630C99"/>
    <w:rsid w:val="00644A56"/>
    <w:rsid w:val="006457DE"/>
    <w:rsid w:val="00651291"/>
    <w:rsid w:val="00651A94"/>
    <w:rsid w:val="00652FE5"/>
    <w:rsid w:val="00654706"/>
    <w:rsid w:val="00655862"/>
    <w:rsid w:val="00656E0B"/>
    <w:rsid w:val="00660F89"/>
    <w:rsid w:val="0066160B"/>
    <w:rsid w:val="00663EE3"/>
    <w:rsid w:val="006664F1"/>
    <w:rsid w:val="00666B25"/>
    <w:rsid w:val="00673DAF"/>
    <w:rsid w:val="006760AE"/>
    <w:rsid w:val="0067683F"/>
    <w:rsid w:val="0067748F"/>
    <w:rsid w:val="00687FBA"/>
    <w:rsid w:val="006918E9"/>
    <w:rsid w:val="006A638A"/>
    <w:rsid w:val="006A6E98"/>
    <w:rsid w:val="006A74DB"/>
    <w:rsid w:val="006B157C"/>
    <w:rsid w:val="006B5182"/>
    <w:rsid w:val="006C1614"/>
    <w:rsid w:val="006C2441"/>
    <w:rsid w:val="006C7FE2"/>
    <w:rsid w:val="006D2301"/>
    <w:rsid w:val="006D23C1"/>
    <w:rsid w:val="006E0BD9"/>
    <w:rsid w:val="006E39A3"/>
    <w:rsid w:val="006F384C"/>
    <w:rsid w:val="006F779C"/>
    <w:rsid w:val="007046FB"/>
    <w:rsid w:val="00710E35"/>
    <w:rsid w:val="00714426"/>
    <w:rsid w:val="007164AC"/>
    <w:rsid w:val="007216DA"/>
    <w:rsid w:val="00726D80"/>
    <w:rsid w:val="007310E8"/>
    <w:rsid w:val="007320AE"/>
    <w:rsid w:val="00733A8F"/>
    <w:rsid w:val="00733BAF"/>
    <w:rsid w:val="00737C83"/>
    <w:rsid w:val="00744163"/>
    <w:rsid w:val="00746B71"/>
    <w:rsid w:val="0075083A"/>
    <w:rsid w:val="00751D2E"/>
    <w:rsid w:val="007536EA"/>
    <w:rsid w:val="0075547F"/>
    <w:rsid w:val="007575C7"/>
    <w:rsid w:val="0076100E"/>
    <w:rsid w:val="00761325"/>
    <w:rsid w:val="00765E25"/>
    <w:rsid w:val="00767981"/>
    <w:rsid w:val="0077067C"/>
    <w:rsid w:val="00782666"/>
    <w:rsid w:val="00783828"/>
    <w:rsid w:val="00794C24"/>
    <w:rsid w:val="007A0F9C"/>
    <w:rsid w:val="007A1E5E"/>
    <w:rsid w:val="007B16B1"/>
    <w:rsid w:val="007B1A74"/>
    <w:rsid w:val="007B2569"/>
    <w:rsid w:val="007B5391"/>
    <w:rsid w:val="007B5527"/>
    <w:rsid w:val="007C27B3"/>
    <w:rsid w:val="007C74EC"/>
    <w:rsid w:val="007D1789"/>
    <w:rsid w:val="007D32AC"/>
    <w:rsid w:val="007D6274"/>
    <w:rsid w:val="007E152A"/>
    <w:rsid w:val="007F2414"/>
    <w:rsid w:val="007F7179"/>
    <w:rsid w:val="00800FA3"/>
    <w:rsid w:val="00801B9D"/>
    <w:rsid w:val="00802001"/>
    <w:rsid w:val="00804C31"/>
    <w:rsid w:val="00806594"/>
    <w:rsid w:val="008131E9"/>
    <w:rsid w:val="008175FE"/>
    <w:rsid w:val="008204ED"/>
    <w:rsid w:val="00822B99"/>
    <w:rsid w:val="00833D3B"/>
    <w:rsid w:val="00835BB0"/>
    <w:rsid w:val="00836157"/>
    <w:rsid w:val="00836540"/>
    <w:rsid w:val="00837F29"/>
    <w:rsid w:val="008505FB"/>
    <w:rsid w:val="00855D0E"/>
    <w:rsid w:val="00860CDA"/>
    <w:rsid w:val="0086209C"/>
    <w:rsid w:val="00863307"/>
    <w:rsid w:val="0086454D"/>
    <w:rsid w:val="00866A7C"/>
    <w:rsid w:val="0087343C"/>
    <w:rsid w:val="00874B42"/>
    <w:rsid w:val="0088212B"/>
    <w:rsid w:val="008827DD"/>
    <w:rsid w:val="00882B98"/>
    <w:rsid w:val="00886AF8"/>
    <w:rsid w:val="00887BBE"/>
    <w:rsid w:val="00892D55"/>
    <w:rsid w:val="00897264"/>
    <w:rsid w:val="008A337E"/>
    <w:rsid w:val="008B2B59"/>
    <w:rsid w:val="008B3802"/>
    <w:rsid w:val="008B3B88"/>
    <w:rsid w:val="008B464E"/>
    <w:rsid w:val="008B5703"/>
    <w:rsid w:val="008C1986"/>
    <w:rsid w:val="008C4987"/>
    <w:rsid w:val="008C4AA9"/>
    <w:rsid w:val="008C73CE"/>
    <w:rsid w:val="008E138E"/>
    <w:rsid w:val="008E2239"/>
    <w:rsid w:val="008E2995"/>
    <w:rsid w:val="008E3C50"/>
    <w:rsid w:val="008E4F56"/>
    <w:rsid w:val="008E5DA8"/>
    <w:rsid w:val="008E63D1"/>
    <w:rsid w:val="008E64DD"/>
    <w:rsid w:val="008F03A7"/>
    <w:rsid w:val="008F15D1"/>
    <w:rsid w:val="008F26E3"/>
    <w:rsid w:val="008F6193"/>
    <w:rsid w:val="008F6B2D"/>
    <w:rsid w:val="0090040A"/>
    <w:rsid w:val="00905021"/>
    <w:rsid w:val="00905CD4"/>
    <w:rsid w:val="0091405B"/>
    <w:rsid w:val="009146BD"/>
    <w:rsid w:val="0091470B"/>
    <w:rsid w:val="00921BF6"/>
    <w:rsid w:val="009232E9"/>
    <w:rsid w:val="00932ABF"/>
    <w:rsid w:val="009362B2"/>
    <w:rsid w:val="00936745"/>
    <w:rsid w:val="0094240F"/>
    <w:rsid w:val="009529C8"/>
    <w:rsid w:val="009538FA"/>
    <w:rsid w:val="00957EE1"/>
    <w:rsid w:val="009650BF"/>
    <w:rsid w:val="009673C8"/>
    <w:rsid w:val="0096773A"/>
    <w:rsid w:val="00974238"/>
    <w:rsid w:val="009757FB"/>
    <w:rsid w:val="009831E7"/>
    <w:rsid w:val="009843F0"/>
    <w:rsid w:val="0098456D"/>
    <w:rsid w:val="009854AE"/>
    <w:rsid w:val="00994798"/>
    <w:rsid w:val="00997278"/>
    <w:rsid w:val="009A0D1F"/>
    <w:rsid w:val="009A30FD"/>
    <w:rsid w:val="009A3698"/>
    <w:rsid w:val="009B3E11"/>
    <w:rsid w:val="009B4B04"/>
    <w:rsid w:val="009C14C0"/>
    <w:rsid w:val="009C1765"/>
    <w:rsid w:val="009C27A8"/>
    <w:rsid w:val="009D5822"/>
    <w:rsid w:val="009E5A7E"/>
    <w:rsid w:val="009E7D19"/>
    <w:rsid w:val="009F4C8F"/>
    <w:rsid w:val="00A02C50"/>
    <w:rsid w:val="00A0650B"/>
    <w:rsid w:val="00A136F9"/>
    <w:rsid w:val="00A13E19"/>
    <w:rsid w:val="00A165A1"/>
    <w:rsid w:val="00A2052C"/>
    <w:rsid w:val="00A23FDA"/>
    <w:rsid w:val="00A37D8B"/>
    <w:rsid w:val="00A37DF2"/>
    <w:rsid w:val="00A40E7E"/>
    <w:rsid w:val="00A41E2A"/>
    <w:rsid w:val="00A4305F"/>
    <w:rsid w:val="00A478F0"/>
    <w:rsid w:val="00A53059"/>
    <w:rsid w:val="00A55A34"/>
    <w:rsid w:val="00A742A0"/>
    <w:rsid w:val="00A77971"/>
    <w:rsid w:val="00A8242E"/>
    <w:rsid w:val="00A84C29"/>
    <w:rsid w:val="00A859D4"/>
    <w:rsid w:val="00A9303A"/>
    <w:rsid w:val="00A93C27"/>
    <w:rsid w:val="00A94CF1"/>
    <w:rsid w:val="00A9516B"/>
    <w:rsid w:val="00A97E5B"/>
    <w:rsid w:val="00AA29AE"/>
    <w:rsid w:val="00AB26F0"/>
    <w:rsid w:val="00AB6316"/>
    <w:rsid w:val="00AB651E"/>
    <w:rsid w:val="00AD03FF"/>
    <w:rsid w:val="00AD191E"/>
    <w:rsid w:val="00AD407E"/>
    <w:rsid w:val="00AE09A1"/>
    <w:rsid w:val="00AE444E"/>
    <w:rsid w:val="00AE6767"/>
    <w:rsid w:val="00AE6CB3"/>
    <w:rsid w:val="00AF2C01"/>
    <w:rsid w:val="00B002CE"/>
    <w:rsid w:val="00B00AA7"/>
    <w:rsid w:val="00B018DB"/>
    <w:rsid w:val="00B03CDB"/>
    <w:rsid w:val="00B04D63"/>
    <w:rsid w:val="00B07257"/>
    <w:rsid w:val="00B132A9"/>
    <w:rsid w:val="00B26CA5"/>
    <w:rsid w:val="00B3546A"/>
    <w:rsid w:val="00B4479B"/>
    <w:rsid w:val="00B5053F"/>
    <w:rsid w:val="00B5056F"/>
    <w:rsid w:val="00B6144F"/>
    <w:rsid w:val="00B61DA9"/>
    <w:rsid w:val="00B64CBA"/>
    <w:rsid w:val="00B71850"/>
    <w:rsid w:val="00B7726B"/>
    <w:rsid w:val="00B772A8"/>
    <w:rsid w:val="00B80CA2"/>
    <w:rsid w:val="00B842D6"/>
    <w:rsid w:val="00B87759"/>
    <w:rsid w:val="00B90EC5"/>
    <w:rsid w:val="00BA73EC"/>
    <w:rsid w:val="00BC126F"/>
    <w:rsid w:val="00BC1A32"/>
    <w:rsid w:val="00BC4791"/>
    <w:rsid w:val="00BD4898"/>
    <w:rsid w:val="00BE1737"/>
    <w:rsid w:val="00BE35BD"/>
    <w:rsid w:val="00BE4E7D"/>
    <w:rsid w:val="00BE64E0"/>
    <w:rsid w:val="00BE67AD"/>
    <w:rsid w:val="00BE6BA4"/>
    <w:rsid w:val="00BF6985"/>
    <w:rsid w:val="00C008AB"/>
    <w:rsid w:val="00C01069"/>
    <w:rsid w:val="00C0647E"/>
    <w:rsid w:val="00C11332"/>
    <w:rsid w:val="00C125DA"/>
    <w:rsid w:val="00C1340D"/>
    <w:rsid w:val="00C1689D"/>
    <w:rsid w:val="00C25F08"/>
    <w:rsid w:val="00C3600D"/>
    <w:rsid w:val="00C414E2"/>
    <w:rsid w:val="00C47D3E"/>
    <w:rsid w:val="00C509D0"/>
    <w:rsid w:val="00C51B93"/>
    <w:rsid w:val="00C52B1A"/>
    <w:rsid w:val="00C53E54"/>
    <w:rsid w:val="00C64713"/>
    <w:rsid w:val="00C64CDB"/>
    <w:rsid w:val="00C64E51"/>
    <w:rsid w:val="00C716CE"/>
    <w:rsid w:val="00C75AF5"/>
    <w:rsid w:val="00C80847"/>
    <w:rsid w:val="00C835B1"/>
    <w:rsid w:val="00C859D6"/>
    <w:rsid w:val="00C957D7"/>
    <w:rsid w:val="00CA28BE"/>
    <w:rsid w:val="00CA3321"/>
    <w:rsid w:val="00CA72F7"/>
    <w:rsid w:val="00CA7781"/>
    <w:rsid w:val="00CB1EC2"/>
    <w:rsid w:val="00CB2222"/>
    <w:rsid w:val="00CB32CE"/>
    <w:rsid w:val="00CB592A"/>
    <w:rsid w:val="00CE0304"/>
    <w:rsid w:val="00CE4D85"/>
    <w:rsid w:val="00CF36EE"/>
    <w:rsid w:val="00D02396"/>
    <w:rsid w:val="00D04D7C"/>
    <w:rsid w:val="00D06D38"/>
    <w:rsid w:val="00D10A69"/>
    <w:rsid w:val="00D14D1C"/>
    <w:rsid w:val="00D208D9"/>
    <w:rsid w:val="00D23AAC"/>
    <w:rsid w:val="00D27376"/>
    <w:rsid w:val="00D352C7"/>
    <w:rsid w:val="00D41A9F"/>
    <w:rsid w:val="00D44294"/>
    <w:rsid w:val="00D44C03"/>
    <w:rsid w:val="00D458A8"/>
    <w:rsid w:val="00D551B1"/>
    <w:rsid w:val="00D56C80"/>
    <w:rsid w:val="00D64B08"/>
    <w:rsid w:val="00D65117"/>
    <w:rsid w:val="00D7527E"/>
    <w:rsid w:val="00D770B4"/>
    <w:rsid w:val="00D86CA2"/>
    <w:rsid w:val="00D926E0"/>
    <w:rsid w:val="00D94C64"/>
    <w:rsid w:val="00DA0F4B"/>
    <w:rsid w:val="00DA386B"/>
    <w:rsid w:val="00DB1CF5"/>
    <w:rsid w:val="00DB6442"/>
    <w:rsid w:val="00DB7FE0"/>
    <w:rsid w:val="00DC2705"/>
    <w:rsid w:val="00DC3AB3"/>
    <w:rsid w:val="00DD106E"/>
    <w:rsid w:val="00DD1841"/>
    <w:rsid w:val="00DD379D"/>
    <w:rsid w:val="00DD4032"/>
    <w:rsid w:val="00DD781D"/>
    <w:rsid w:val="00DE0500"/>
    <w:rsid w:val="00DE1C8F"/>
    <w:rsid w:val="00DF412A"/>
    <w:rsid w:val="00E0099E"/>
    <w:rsid w:val="00E033E9"/>
    <w:rsid w:val="00E04ECC"/>
    <w:rsid w:val="00E341B2"/>
    <w:rsid w:val="00E343A6"/>
    <w:rsid w:val="00E34E08"/>
    <w:rsid w:val="00E40568"/>
    <w:rsid w:val="00E41273"/>
    <w:rsid w:val="00E43293"/>
    <w:rsid w:val="00E4747A"/>
    <w:rsid w:val="00E50C86"/>
    <w:rsid w:val="00E51923"/>
    <w:rsid w:val="00E55327"/>
    <w:rsid w:val="00E55395"/>
    <w:rsid w:val="00E610A8"/>
    <w:rsid w:val="00E6450F"/>
    <w:rsid w:val="00E654BF"/>
    <w:rsid w:val="00E73DC9"/>
    <w:rsid w:val="00E814B5"/>
    <w:rsid w:val="00E82254"/>
    <w:rsid w:val="00E84D40"/>
    <w:rsid w:val="00E8689B"/>
    <w:rsid w:val="00E91DA2"/>
    <w:rsid w:val="00E926C9"/>
    <w:rsid w:val="00E9388D"/>
    <w:rsid w:val="00E95158"/>
    <w:rsid w:val="00E956F7"/>
    <w:rsid w:val="00EA3E65"/>
    <w:rsid w:val="00EA69C9"/>
    <w:rsid w:val="00EA6A76"/>
    <w:rsid w:val="00EB0293"/>
    <w:rsid w:val="00EB60E9"/>
    <w:rsid w:val="00EC1B8E"/>
    <w:rsid w:val="00EC1DE1"/>
    <w:rsid w:val="00EC3610"/>
    <w:rsid w:val="00EC4129"/>
    <w:rsid w:val="00EC7495"/>
    <w:rsid w:val="00ED1501"/>
    <w:rsid w:val="00ED1B00"/>
    <w:rsid w:val="00ED2245"/>
    <w:rsid w:val="00ED2DAF"/>
    <w:rsid w:val="00ED5361"/>
    <w:rsid w:val="00ED6ADB"/>
    <w:rsid w:val="00EE2047"/>
    <w:rsid w:val="00EE4D53"/>
    <w:rsid w:val="00EE73E1"/>
    <w:rsid w:val="00EF32EC"/>
    <w:rsid w:val="00EF6963"/>
    <w:rsid w:val="00F01BA6"/>
    <w:rsid w:val="00F04DE7"/>
    <w:rsid w:val="00F15E6D"/>
    <w:rsid w:val="00F21E47"/>
    <w:rsid w:val="00F21EEA"/>
    <w:rsid w:val="00F23E0F"/>
    <w:rsid w:val="00F30FB1"/>
    <w:rsid w:val="00F34F98"/>
    <w:rsid w:val="00F3597F"/>
    <w:rsid w:val="00F40A48"/>
    <w:rsid w:val="00F47ED3"/>
    <w:rsid w:val="00F54AA7"/>
    <w:rsid w:val="00F576EF"/>
    <w:rsid w:val="00F62CEF"/>
    <w:rsid w:val="00F63408"/>
    <w:rsid w:val="00F7021C"/>
    <w:rsid w:val="00F737CC"/>
    <w:rsid w:val="00F742B7"/>
    <w:rsid w:val="00F754BB"/>
    <w:rsid w:val="00F76FF5"/>
    <w:rsid w:val="00F7761F"/>
    <w:rsid w:val="00F923FF"/>
    <w:rsid w:val="00F93C95"/>
    <w:rsid w:val="00F956F6"/>
    <w:rsid w:val="00F96D37"/>
    <w:rsid w:val="00FB215E"/>
    <w:rsid w:val="00FB4AF9"/>
    <w:rsid w:val="00FB77CD"/>
    <w:rsid w:val="00FC165C"/>
    <w:rsid w:val="00FC6BC3"/>
    <w:rsid w:val="00FD0096"/>
    <w:rsid w:val="00FE1717"/>
    <w:rsid w:val="00FE35B3"/>
    <w:rsid w:val="00FF0427"/>
    <w:rsid w:val="00FF13D2"/>
    <w:rsid w:val="00FF1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716CE"/>
    <w:rPr>
      <w:sz w:val="24"/>
      <w:szCs w:val="24"/>
    </w:rPr>
  </w:style>
  <w:style w:type="paragraph" w:styleId="Titolo1">
    <w:name w:val="heading 1"/>
    <w:basedOn w:val="Normale"/>
    <w:next w:val="Normale"/>
    <w:link w:val="Titolo1Carattere"/>
    <w:qFormat/>
    <w:rsid w:val="00592AC6"/>
    <w:pPr>
      <w:keepNext/>
      <w:spacing w:line="360" w:lineRule="auto"/>
      <w:jc w:val="both"/>
      <w:outlineLvl w:val="0"/>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716CE"/>
    <w:pPr>
      <w:tabs>
        <w:tab w:val="center" w:pos="4819"/>
        <w:tab w:val="right" w:pos="9638"/>
      </w:tabs>
    </w:pPr>
  </w:style>
  <w:style w:type="paragraph" w:styleId="Pidipagina">
    <w:name w:val="footer"/>
    <w:basedOn w:val="Normale"/>
    <w:link w:val="PidipaginaCarattere"/>
    <w:uiPriority w:val="99"/>
    <w:rsid w:val="00C716CE"/>
    <w:pPr>
      <w:tabs>
        <w:tab w:val="center" w:pos="4819"/>
        <w:tab w:val="right" w:pos="9638"/>
      </w:tabs>
    </w:pPr>
  </w:style>
  <w:style w:type="paragraph" w:styleId="Testofumetto">
    <w:name w:val="Balloon Text"/>
    <w:basedOn w:val="Normale"/>
    <w:semiHidden/>
    <w:rsid w:val="005F2BE9"/>
    <w:rPr>
      <w:rFonts w:ascii="Tahoma" w:hAnsi="Tahoma" w:cs="Tahoma"/>
      <w:sz w:val="16"/>
      <w:szCs w:val="16"/>
    </w:rPr>
  </w:style>
  <w:style w:type="paragraph" w:styleId="NormaleWeb">
    <w:name w:val="Normal (Web)"/>
    <w:basedOn w:val="Normale"/>
    <w:rsid w:val="00194BAE"/>
    <w:pPr>
      <w:spacing w:before="100" w:beforeAutospacing="1" w:after="119"/>
    </w:pPr>
  </w:style>
  <w:style w:type="paragraph" w:styleId="Paragrafoelenco">
    <w:name w:val="List Paragraph"/>
    <w:basedOn w:val="Normale"/>
    <w:uiPriority w:val="34"/>
    <w:qFormat/>
    <w:rsid w:val="0027138E"/>
    <w:pPr>
      <w:ind w:left="720"/>
      <w:contextualSpacing/>
    </w:pPr>
  </w:style>
  <w:style w:type="character" w:customStyle="1" w:styleId="IntestazioneCarattere">
    <w:name w:val="Intestazione Carattere"/>
    <w:basedOn w:val="Carpredefinitoparagrafo"/>
    <w:link w:val="Intestazione"/>
    <w:uiPriority w:val="99"/>
    <w:rsid w:val="008E5DA8"/>
    <w:rPr>
      <w:sz w:val="24"/>
      <w:szCs w:val="24"/>
    </w:rPr>
  </w:style>
  <w:style w:type="character" w:styleId="Numeropagina">
    <w:name w:val="page number"/>
    <w:basedOn w:val="Carpredefinitoparagrafo"/>
    <w:uiPriority w:val="99"/>
    <w:unhideWhenUsed/>
    <w:rsid w:val="008E5DA8"/>
    <w:rPr>
      <w:rFonts w:eastAsiaTheme="minorEastAsia" w:cstheme="minorBidi"/>
      <w:bCs w:val="0"/>
      <w:iCs w:val="0"/>
      <w:szCs w:val="22"/>
      <w:lang w:val="it-IT"/>
    </w:rPr>
  </w:style>
  <w:style w:type="character" w:customStyle="1" w:styleId="PidipaginaCarattere">
    <w:name w:val="Piè di pagina Carattere"/>
    <w:basedOn w:val="Carpredefinitoparagrafo"/>
    <w:link w:val="Pidipagina"/>
    <w:uiPriority w:val="99"/>
    <w:rsid w:val="0010213F"/>
    <w:rPr>
      <w:sz w:val="24"/>
      <w:szCs w:val="24"/>
    </w:rPr>
  </w:style>
  <w:style w:type="paragraph" w:styleId="Testonotaapidipagina">
    <w:name w:val="footnote text"/>
    <w:basedOn w:val="Normale"/>
    <w:link w:val="TestonotaapidipaginaCarattere"/>
    <w:rsid w:val="009D5822"/>
    <w:rPr>
      <w:sz w:val="20"/>
      <w:szCs w:val="20"/>
    </w:rPr>
  </w:style>
  <w:style w:type="character" w:customStyle="1" w:styleId="TestonotaapidipaginaCarattere">
    <w:name w:val="Testo nota a piè di pagina Carattere"/>
    <w:basedOn w:val="Carpredefinitoparagrafo"/>
    <w:link w:val="Testonotaapidipagina"/>
    <w:rsid w:val="009D5822"/>
  </w:style>
  <w:style w:type="character" w:styleId="Rimandonotaapidipagina">
    <w:name w:val="footnote reference"/>
    <w:basedOn w:val="Carpredefinitoparagrafo"/>
    <w:uiPriority w:val="99"/>
    <w:unhideWhenUsed/>
    <w:rsid w:val="009D5822"/>
    <w:rPr>
      <w:vertAlign w:val="superscript"/>
    </w:rPr>
  </w:style>
  <w:style w:type="character" w:customStyle="1" w:styleId="Titolo1Carattere">
    <w:name w:val="Titolo 1 Carattere"/>
    <w:basedOn w:val="Carpredefinitoparagrafo"/>
    <w:link w:val="Titolo1"/>
    <w:rsid w:val="00592AC6"/>
    <w:rPr>
      <w:b/>
      <w:bCs/>
      <w:sz w:val="28"/>
      <w:szCs w:val="24"/>
    </w:rPr>
  </w:style>
  <w:style w:type="table" w:styleId="Grigliatabella">
    <w:name w:val="Table Grid"/>
    <w:basedOn w:val="Tabellanormale"/>
    <w:uiPriority w:val="59"/>
    <w:rsid w:val="000211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716CE"/>
    <w:rPr>
      <w:sz w:val="24"/>
      <w:szCs w:val="24"/>
    </w:rPr>
  </w:style>
  <w:style w:type="paragraph" w:styleId="Titolo1">
    <w:name w:val="heading 1"/>
    <w:basedOn w:val="Normale"/>
    <w:next w:val="Normale"/>
    <w:link w:val="Titolo1Carattere"/>
    <w:qFormat/>
    <w:rsid w:val="00592AC6"/>
    <w:pPr>
      <w:keepNext/>
      <w:spacing w:line="360" w:lineRule="auto"/>
      <w:jc w:val="both"/>
      <w:outlineLvl w:val="0"/>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716CE"/>
    <w:pPr>
      <w:tabs>
        <w:tab w:val="center" w:pos="4819"/>
        <w:tab w:val="right" w:pos="9638"/>
      </w:tabs>
    </w:pPr>
  </w:style>
  <w:style w:type="paragraph" w:styleId="Pidipagina">
    <w:name w:val="footer"/>
    <w:basedOn w:val="Normale"/>
    <w:link w:val="PidipaginaCarattere"/>
    <w:uiPriority w:val="99"/>
    <w:rsid w:val="00C716CE"/>
    <w:pPr>
      <w:tabs>
        <w:tab w:val="center" w:pos="4819"/>
        <w:tab w:val="right" w:pos="9638"/>
      </w:tabs>
    </w:pPr>
  </w:style>
  <w:style w:type="paragraph" w:styleId="Testofumetto">
    <w:name w:val="Balloon Text"/>
    <w:basedOn w:val="Normale"/>
    <w:semiHidden/>
    <w:rsid w:val="005F2BE9"/>
    <w:rPr>
      <w:rFonts w:ascii="Tahoma" w:hAnsi="Tahoma" w:cs="Tahoma"/>
      <w:sz w:val="16"/>
      <w:szCs w:val="16"/>
    </w:rPr>
  </w:style>
  <w:style w:type="paragraph" w:styleId="NormaleWeb">
    <w:name w:val="Normal (Web)"/>
    <w:basedOn w:val="Normale"/>
    <w:rsid w:val="00194BAE"/>
    <w:pPr>
      <w:spacing w:before="100" w:beforeAutospacing="1" w:after="119"/>
    </w:pPr>
  </w:style>
  <w:style w:type="paragraph" w:styleId="Paragrafoelenco">
    <w:name w:val="List Paragraph"/>
    <w:basedOn w:val="Normale"/>
    <w:uiPriority w:val="34"/>
    <w:qFormat/>
    <w:rsid w:val="0027138E"/>
    <w:pPr>
      <w:ind w:left="720"/>
      <w:contextualSpacing/>
    </w:pPr>
  </w:style>
  <w:style w:type="character" w:customStyle="1" w:styleId="IntestazioneCarattere">
    <w:name w:val="Intestazione Carattere"/>
    <w:basedOn w:val="Carpredefinitoparagrafo"/>
    <w:link w:val="Intestazione"/>
    <w:uiPriority w:val="99"/>
    <w:rsid w:val="008E5DA8"/>
    <w:rPr>
      <w:sz w:val="24"/>
      <w:szCs w:val="24"/>
    </w:rPr>
  </w:style>
  <w:style w:type="character" w:styleId="Numeropagina">
    <w:name w:val="page number"/>
    <w:basedOn w:val="Carpredefinitoparagrafo"/>
    <w:uiPriority w:val="99"/>
    <w:unhideWhenUsed/>
    <w:rsid w:val="008E5DA8"/>
    <w:rPr>
      <w:rFonts w:eastAsiaTheme="minorEastAsia" w:cstheme="minorBidi"/>
      <w:bCs w:val="0"/>
      <w:iCs w:val="0"/>
      <w:szCs w:val="22"/>
      <w:lang w:val="it-IT"/>
    </w:rPr>
  </w:style>
  <w:style w:type="character" w:customStyle="1" w:styleId="PidipaginaCarattere">
    <w:name w:val="Piè di pagina Carattere"/>
    <w:basedOn w:val="Carpredefinitoparagrafo"/>
    <w:link w:val="Pidipagina"/>
    <w:uiPriority w:val="99"/>
    <w:rsid w:val="0010213F"/>
    <w:rPr>
      <w:sz w:val="24"/>
      <w:szCs w:val="24"/>
    </w:rPr>
  </w:style>
  <w:style w:type="paragraph" w:styleId="Testonotaapidipagina">
    <w:name w:val="footnote text"/>
    <w:basedOn w:val="Normale"/>
    <w:link w:val="TestonotaapidipaginaCarattere"/>
    <w:rsid w:val="009D5822"/>
    <w:rPr>
      <w:sz w:val="20"/>
      <w:szCs w:val="20"/>
    </w:rPr>
  </w:style>
  <w:style w:type="character" w:customStyle="1" w:styleId="TestonotaapidipaginaCarattere">
    <w:name w:val="Testo nota a piè di pagina Carattere"/>
    <w:basedOn w:val="Carpredefinitoparagrafo"/>
    <w:link w:val="Testonotaapidipagina"/>
    <w:rsid w:val="009D5822"/>
  </w:style>
  <w:style w:type="character" w:styleId="Rimandonotaapidipagina">
    <w:name w:val="footnote reference"/>
    <w:basedOn w:val="Carpredefinitoparagrafo"/>
    <w:uiPriority w:val="99"/>
    <w:unhideWhenUsed/>
    <w:rsid w:val="009D5822"/>
    <w:rPr>
      <w:vertAlign w:val="superscript"/>
    </w:rPr>
  </w:style>
  <w:style w:type="character" w:customStyle="1" w:styleId="Titolo1Carattere">
    <w:name w:val="Titolo 1 Carattere"/>
    <w:basedOn w:val="Carpredefinitoparagrafo"/>
    <w:link w:val="Titolo1"/>
    <w:rsid w:val="00592AC6"/>
    <w:rPr>
      <w:b/>
      <w:bCs/>
      <w:sz w:val="28"/>
      <w:szCs w:val="24"/>
    </w:rPr>
  </w:style>
  <w:style w:type="table" w:styleId="Grigliatabella">
    <w:name w:val="Table Grid"/>
    <w:basedOn w:val="Tabellanormale"/>
    <w:uiPriority w:val="59"/>
    <w:rsid w:val="000211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386765">
      <w:bodyDiv w:val="1"/>
      <w:marLeft w:val="0"/>
      <w:marRight w:val="0"/>
      <w:marTop w:val="0"/>
      <w:marBottom w:val="0"/>
      <w:divBdr>
        <w:top w:val="none" w:sz="0" w:space="0" w:color="auto"/>
        <w:left w:val="none" w:sz="0" w:space="0" w:color="auto"/>
        <w:bottom w:val="none" w:sz="0" w:space="0" w:color="auto"/>
        <w:right w:val="none" w:sz="0" w:space="0" w:color="auto"/>
      </w:divBdr>
    </w:div>
    <w:div w:id="813639123">
      <w:bodyDiv w:val="1"/>
      <w:marLeft w:val="0"/>
      <w:marRight w:val="0"/>
      <w:marTop w:val="0"/>
      <w:marBottom w:val="0"/>
      <w:divBdr>
        <w:top w:val="none" w:sz="0" w:space="0" w:color="auto"/>
        <w:left w:val="none" w:sz="0" w:space="0" w:color="auto"/>
        <w:bottom w:val="none" w:sz="0" w:space="0" w:color="auto"/>
        <w:right w:val="none" w:sz="0" w:space="0" w:color="auto"/>
      </w:divBdr>
    </w:div>
    <w:div w:id="969944446">
      <w:bodyDiv w:val="1"/>
      <w:marLeft w:val="0"/>
      <w:marRight w:val="0"/>
      <w:marTop w:val="0"/>
      <w:marBottom w:val="0"/>
      <w:divBdr>
        <w:top w:val="none" w:sz="0" w:space="0" w:color="auto"/>
        <w:left w:val="none" w:sz="0" w:space="0" w:color="auto"/>
        <w:bottom w:val="none" w:sz="0" w:space="0" w:color="auto"/>
        <w:right w:val="none" w:sz="0" w:space="0" w:color="auto"/>
      </w:divBdr>
    </w:div>
    <w:div w:id="1524057397">
      <w:bodyDiv w:val="1"/>
      <w:marLeft w:val="0"/>
      <w:marRight w:val="0"/>
      <w:marTop w:val="0"/>
      <w:marBottom w:val="0"/>
      <w:divBdr>
        <w:top w:val="none" w:sz="0" w:space="0" w:color="auto"/>
        <w:left w:val="none" w:sz="0" w:space="0" w:color="auto"/>
        <w:bottom w:val="none" w:sz="0" w:space="0" w:color="auto"/>
        <w:right w:val="none" w:sz="0" w:space="0" w:color="auto"/>
      </w:divBdr>
    </w:div>
    <w:div w:id="201433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778</Words>
  <Characters>4438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__</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nicol</cp:lastModifiedBy>
  <cp:revision>2</cp:revision>
  <cp:lastPrinted>2014-09-11T10:15:00Z</cp:lastPrinted>
  <dcterms:created xsi:type="dcterms:W3CDTF">2016-11-07T10:19:00Z</dcterms:created>
  <dcterms:modified xsi:type="dcterms:W3CDTF">2016-11-07T10:19:00Z</dcterms:modified>
</cp:coreProperties>
</file>