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7E" w:rsidRDefault="00C0267E" w:rsidP="00905CD4">
      <w:pPr>
        <w:spacing w:line="360" w:lineRule="auto"/>
        <w:jc w:val="center"/>
        <w:rPr>
          <w:b/>
          <w:sz w:val="32"/>
          <w:szCs w:val="32"/>
        </w:rPr>
      </w:pPr>
      <w:r>
        <w:rPr>
          <w:b/>
          <w:sz w:val="32"/>
          <w:szCs w:val="32"/>
        </w:rPr>
        <w:t>RELAZIONE DELL’AMMINISTRATORE DI ACCOMPAGNAMENTO</w:t>
      </w:r>
      <w:r w:rsidR="0047469F">
        <w:rPr>
          <w:b/>
          <w:sz w:val="32"/>
          <w:szCs w:val="32"/>
        </w:rPr>
        <w:t xml:space="preserve"> AL BILANCIO DELL’ESERCIZIO 2016</w:t>
      </w:r>
    </w:p>
    <w:p w:rsidR="00C0267E" w:rsidRPr="00C0267E" w:rsidRDefault="00C0267E" w:rsidP="00D26A97">
      <w:pPr>
        <w:spacing w:line="360" w:lineRule="auto"/>
        <w:ind w:firstLine="708"/>
        <w:jc w:val="both"/>
        <w:rPr>
          <w:b/>
          <w:i/>
        </w:rPr>
      </w:pPr>
      <w:r w:rsidRPr="00C0267E">
        <w:rPr>
          <w:b/>
          <w:i/>
        </w:rPr>
        <w:t>Spettabile Socio Unico,</w:t>
      </w:r>
    </w:p>
    <w:p w:rsidR="0047469F" w:rsidRDefault="00C0267E" w:rsidP="0047469F">
      <w:pPr>
        <w:spacing w:line="360" w:lineRule="auto"/>
        <w:jc w:val="both"/>
      </w:pPr>
      <w:r>
        <w:t>l’Esercizio 201</w:t>
      </w:r>
      <w:r w:rsidR="0047469F">
        <w:t>6 è stato un esercizio importante la società che:</w:t>
      </w:r>
    </w:p>
    <w:p w:rsidR="0047469F" w:rsidRDefault="0047469F" w:rsidP="0047469F">
      <w:pPr>
        <w:pStyle w:val="Paragrafoelenco"/>
        <w:numPr>
          <w:ilvl w:val="0"/>
          <w:numId w:val="1"/>
        </w:numPr>
        <w:spacing w:line="360" w:lineRule="auto"/>
        <w:jc w:val="both"/>
      </w:pPr>
      <w:r>
        <w:t>trae origine dalla delibera di assemblea dei Soci della C e Sviluppo S..r.l. in Liquidazione del 21.07.2014, allorquando, approvando il Progetto di Bilancio dell’Esercizio 2013 e ratificando i bilanci degli esercizi 2011 e 2012, si prendeva atto della intenzione del Socio Unico di porre in essere un piano di medio termine atto a garantire il trasferimento progressivo alla società dei servizi comunali;</w:t>
      </w:r>
    </w:p>
    <w:p w:rsidR="0047469F" w:rsidRDefault="0047469F" w:rsidP="0047469F">
      <w:pPr>
        <w:pStyle w:val="Paragrafoelenco"/>
        <w:numPr>
          <w:ilvl w:val="0"/>
          <w:numId w:val="1"/>
        </w:numPr>
        <w:spacing w:line="360" w:lineRule="auto"/>
        <w:jc w:val="both"/>
      </w:pPr>
      <w:r>
        <w:t xml:space="preserve">in seguito alla costituzione (05.08.2014 Rep. 24045 e Rac. 9347), con delibera di Consiglio Comunale (29.09.2014) veniva dotata di un Piano Industriale e di uno schema di contratto di Servizio;  </w:t>
      </w:r>
    </w:p>
    <w:p w:rsidR="0047469F" w:rsidRDefault="0047469F" w:rsidP="0047469F">
      <w:pPr>
        <w:pStyle w:val="Paragrafoelenco"/>
        <w:numPr>
          <w:ilvl w:val="0"/>
          <w:numId w:val="1"/>
        </w:numPr>
        <w:spacing w:line="360" w:lineRule="auto"/>
        <w:jc w:val="both"/>
      </w:pPr>
      <w:r>
        <w:t>ha adottato un nuovo modello statutario, recependo norme di diritto amministrativo in tema di controllo in house (11.12.2015 Rep. 24800 e Racc. 9923);</w:t>
      </w:r>
    </w:p>
    <w:p w:rsidR="0047469F" w:rsidRDefault="0047469F" w:rsidP="0047469F">
      <w:pPr>
        <w:pStyle w:val="Paragrafoelenco"/>
        <w:numPr>
          <w:ilvl w:val="0"/>
          <w:numId w:val="1"/>
        </w:numPr>
        <w:spacing w:line="360" w:lineRule="auto"/>
        <w:jc w:val="both"/>
      </w:pPr>
      <w:r>
        <w:t>in virtù di atti deliberativi del Consiglio Comunale e della Giunta Comunale e richiamati i successivi provvedimenti amministrativi dei Responsabili dell’Ente, ha ricevuto in affidamento i servizi di pulizia degli immobili comunali, traposto alunni, mensa scolastica, efficientamenti energetici, manutenzioni, servizi terza farmacia comunale, affissioni, parcheggi, supporto amministrativo alla Centrale Unica di Committenza Sele Picentini, manutenzione temporanea Impianto sportivo Nuova Primavera, supporto alla ristrutturazione dei debiti della Cooperazione e Sviluppo S.r.l. in Liquidazione.</w:t>
      </w:r>
    </w:p>
    <w:p w:rsidR="0047469F" w:rsidRDefault="0047469F" w:rsidP="0047469F">
      <w:pPr>
        <w:spacing w:line="360" w:lineRule="auto"/>
        <w:jc w:val="both"/>
      </w:pPr>
      <w:r>
        <w:t>Nel corso dell’esercizio conclusosi, i principali accadimenti, sono riconducibili ai seguenti atti straordinari:</w:t>
      </w:r>
    </w:p>
    <w:p w:rsidR="0047469F" w:rsidRDefault="0047469F" w:rsidP="0047469F">
      <w:pPr>
        <w:pStyle w:val="Paragrafoelenco"/>
        <w:numPr>
          <w:ilvl w:val="0"/>
          <w:numId w:val="2"/>
        </w:numPr>
        <w:spacing w:line="360" w:lineRule="auto"/>
        <w:jc w:val="both"/>
      </w:pPr>
      <w:r>
        <w:t>nell’ambito della gestione dei summenzionati servizi ed attività, in linea con gli assunti dall’Ente ed in seguito a procedura ad evidenza pubblica, ha dato corso alla costituzione della Bellizzi Farm S.r.l., detenendone il controllo con una quota del 51%, cui demandare la gestione della Terza Sede Farmacia Comunale, (07.10.2016, Rep. 25271 e Racc. 10326);</w:t>
      </w:r>
    </w:p>
    <w:p w:rsidR="0047469F" w:rsidRDefault="0047469F" w:rsidP="0047469F">
      <w:pPr>
        <w:pStyle w:val="Paragrafoelenco"/>
        <w:numPr>
          <w:ilvl w:val="0"/>
          <w:numId w:val="2"/>
        </w:numPr>
        <w:spacing w:line="360" w:lineRule="auto"/>
        <w:jc w:val="both"/>
      </w:pPr>
      <w:r>
        <w:t>nell’ambito della ristrutturazione della controllante Cooperazione e Sviluppo S.r.l. in Liq.ne, giusta deliberazione del  Consiglio Comunale (14.11.2016), ha incorporato per fusione la summenzionata Cooperazione e Sviluppo S.r.l. in Liq.ne, società oggi cessata (29.1</w:t>
      </w:r>
      <w:r w:rsidR="00787179">
        <w:t>2.2016 Rep. 25397e Racc. 12341).</w:t>
      </w:r>
    </w:p>
    <w:p w:rsidR="0047469F" w:rsidRDefault="0047469F" w:rsidP="0047469F">
      <w:pPr>
        <w:spacing w:line="360" w:lineRule="auto"/>
        <w:jc w:val="both"/>
      </w:pPr>
      <w:r>
        <w:lastRenderedPageBreak/>
        <w:t>Dal punto di vista patrimoniale, la società negli esercizi 2014, 2014 e 2016, ha regolarmente approvato i propri bilanci, con un conseguente patrimonio netto odierno pari ad Euro 840.700,30, come di seguito dettagliato:</w:t>
      </w:r>
    </w:p>
    <w:p w:rsidR="0047469F" w:rsidRDefault="00C514C3" w:rsidP="00C514C3">
      <w:pPr>
        <w:spacing w:line="360" w:lineRule="auto"/>
        <w:jc w:val="center"/>
      </w:pPr>
      <w:bookmarkStart w:id="0" w:name="_GoBack"/>
      <w:r w:rsidRPr="00C514C3">
        <w:rPr>
          <w:noProof/>
        </w:rPr>
        <w:drawing>
          <wp:inline distT="0" distB="0" distL="0" distR="0">
            <wp:extent cx="5457825" cy="125412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3864" cy="1253210"/>
                    </a:xfrm>
                    <a:prstGeom prst="rect">
                      <a:avLst/>
                    </a:prstGeom>
                    <a:noFill/>
                    <a:ln>
                      <a:noFill/>
                    </a:ln>
                  </pic:spPr>
                </pic:pic>
              </a:graphicData>
            </a:graphic>
          </wp:inline>
        </w:drawing>
      </w:r>
      <w:bookmarkEnd w:id="0"/>
    </w:p>
    <w:p w:rsidR="00787179" w:rsidRDefault="0047469F" w:rsidP="0047469F">
      <w:pPr>
        <w:spacing w:line="360" w:lineRule="auto"/>
        <w:jc w:val="both"/>
      </w:pPr>
      <w:r>
        <w:t xml:space="preserve">Ad oggi, quindi, </w:t>
      </w:r>
      <w:r w:rsidR="00787179">
        <w:t>la società rappresenta, nell’ambito</w:t>
      </w:r>
      <w:r w:rsidR="000F402C">
        <w:t xml:space="preserve"> dell’azione dell’Ente Socio Com</w:t>
      </w:r>
      <w:r w:rsidR="00787179">
        <w:t>une di Bellizzi:</w:t>
      </w:r>
    </w:p>
    <w:p w:rsidR="0047469F" w:rsidRDefault="0047469F" w:rsidP="00787179">
      <w:pPr>
        <w:pStyle w:val="Paragrafoelenco"/>
        <w:numPr>
          <w:ilvl w:val="0"/>
          <w:numId w:val="2"/>
        </w:numPr>
        <w:spacing w:line="360" w:lineRule="auto"/>
        <w:jc w:val="both"/>
      </w:pPr>
      <w:r>
        <w:t>la riduzione del numero dei soggetti partecipati dall’Ente,  in coerenza con il D.Lgs. 175/2016;</w:t>
      </w:r>
    </w:p>
    <w:p w:rsidR="0047469F" w:rsidRDefault="0047469F" w:rsidP="00787179">
      <w:pPr>
        <w:pStyle w:val="Paragrafoelenco"/>
        <w:numPr>
          <w:ilvl w:val="0"/>
          <w:numId w:val="2"/>
        </w:numPr>
        <w:spacing w:line="360" w:lineRule="auto"/>
        <w:jc w:val="both"/>
      </w:pPr>
      <w:r>
        <w:t>il termine dell’esercizio provvisorio della Cooperazione e Sviluppo S.r.l. in Liq.ne, in linea con gli intendimenti sottostanti alla decisione di riattivare la gestione dei Servizi Locali del giugno 2014;</w:t>
      </w:r>
    </w:p>
    <w:p w:rsidR="0047469F" w:rsidRDefault="0047469F" w:rsidP="00787179">
      <w:pPr>
        <w:pStyle w:val="Paragrafoelenco"/>
        <w:numPr>
          <w:ilvl w:val="0"/>
          <w:numId w:val="2"/>
        </w:numPr>
        <w:spacing w:line="360" w:lineRule="auto"/>
        <w:jc w:val="both"/>
      </w:pPr>
      <w:r>
        <w:t>condizioni di stabilità e futuro alla gestione del servizi pubblici locali, nella direzione di assicurare nel prossimo triennio condizioni di progresso nella loro erogazione, intendendo perseguire quindi maggiori e migliori servizi, minori costi sociali, trasparenza e progresso tecnologico;</w:t>
      </w:r>
    </w:p>
    <w:p w:rsidR="0047469F" w:rsidRDefault="0047469F" w:rsidP="00787179">
      <w:pPr>
        <w:pStyle w:val="Paragrafoelenco"/>
        <w:numPr>
          <w:ilvl w:val="0"/>
          <w:numId w:val="2"/>
        </w:numPr>
        <w:spacing w:line="360" w:lineRule="auto"/>
        <w:jc w:val="both"/>
      </w:pPr>
      <w:r>
        <w:t xml:space="preserve">un incremento di valore di capitalizzazione della </w:t>
      </w:r>
      <w:r w:rsidR="00787179">
        <w:t>Società per circa Euro 800 mila.</w:t>
      </w:r>
    </w:p>
    <w:p w:rsidR="00787179" w:rsidRPr="00787179" w:rsidRDefault="00787179" w:rsidP="00787179">
      <w:pPr>
        <w:pStyle w:val="Paragrafoelenco"/>
        <w:numPr>
          <w:ilvl w:val="0"/>
          <w:numId w:val="2"/>
        </w:numPr>
        <w:spacing w:line="360" w:lineRule="auto"/>
        <w:jc w:val="center"/>
        <w:rPr>
          <w:b/>
          <w:sz w:val="28"/>
          <w:szCs w:val="28"/>
        </w:rPr>
      </w:pPr>
      <w:r w:rsidRPr="00787179">
        <w:rPr>
          <w:b/>
          <w:sz w:val="28"/>
          <w:szCs w:val="28"/>
        </w:rPr>
        <w:t>**************************************</w:t>
      </w:r>
    </w:p>
    <w:p w:rsidR="00787179" w:rsidRDefault="00787179" w:rsidP="00787179">
      <w:pPr>
        <w:spacing w:line="360" w:lineRule="auto"/>
        <w:jc w:val="both"/>
      </w:pPr>
      <w:r w:rsidRPr="00787179">
        <w:rPr>
          <w:b/>
          <w:i/>
        </w:rPr>
        <w:t>In chiave prospettica,</w:t>
      </w:r>
      <w:r>
        <w:t xml:space="preserve"> la società ha redatto un Piano Industriale 2017-2019 che, nell’insieme, prefigura una gestione dei servizi pubblici locali, rinnovata, in linea con le norme di settore ed improntata all’efficienza, alla trasparenza ed al servizio della comunità locale. Esso, inoltre, è conforme ai principi ed alle prescrizioni del D.Lgs 175/2016 e successivi decreti attuativi e fornisce rappresentazioni economiche, finanziarie e patrimoniali previsionali del triennio 2017-2019, aggregate nell’insieme e disaggregate per attività specifiche. Nel dettaglio, il Piano Industriale, fornisce previsioni sui singoli servizi, come di seguito elencate:</w:t>
      </w:r>
    </w:p>
    <w:p w:rsidR="00787179" w:rsidRDefault="00787179" w:rsidP="00787179">
      <w:pPr>
        <w:spacing w:line="360" w:lineRule="auto"/>
        <w:jc w:val="both"/>
      </w:pPr>
      <w:r>
        <w:t>i.</w:t>
      </w:r>
      <w:r>
        <w:tab/>
        <w:t>Servizio mensa_ conferma del risparmio della tariffa (euro 3,45 a pasto in luogo di Euro3,63 antecedente al 2015), ampliamento delle attività, con internalizzazione degli incassi ed implementazione di protocollo di ammodernamento ed utilizzo di tecnologia per facilitare la gestione da parte degli utenti e per migliorare la informazione sull’intero processo di somministrazione dei pasti;</w:t>
      </w:r>
    </w:p>
    <w:p w:rsidR="00787179" w:rsidRDefault="00787179" w:rsidP="00787179">
      <w:pPr>
        <w:spacing w:line="360" w:lineRule="auto"/>
        <w:jc w:val="both"/>
      </w:pPr>
      <w:r>
        <w:lastRenderedPageBreak/>
        <w:t>ii.</w:t>
      </w:r>
      <w:r>
        <w:tab/>
        <w:t xml:space="preserve">Pulizia immobili_ conferma dell’attuale modello organizzativo e garanzia dei risparmi come negli esercizi sinora conclusisi, canone mensile iva esclusa di Euro 3.593,59, con risparmio del 5% rispetto ai valori antecedenti al 2015); </w:t>
      </w:r>
    </w:p>
    <w:p w:rsidR="00787179" w:rsidRDefault="00787179" w:rsidP="00787179">
      <w:pPr>
        <w:spacing w:line="360" w:lineRule="auto"/>
        <w:jc w:val="both"/>
      </w:pPr>
      <w:r>
        <w:t>iii.</w:t>
      </w:r>
      <w:r>
        <w:tab/>
        <w:t>Trasporto alunni _  conferma del costo Iva esclusa pari ad Euro 3.790,40, con un risparmio del 5% rispetto ai valori antecedenti al 2015, implementazione di servizi di comunicazione mediante l’utilizzo del sito internet della società e mediante applicazione per smartphone, funzionale a garantire la migliore fruizione del servizio;</w:t>
      </w:r>
    </w:p>
    <w:p w:rsidR="00787179" w:rsidRDefault="00787179" w:rsidP="00787179">
      <w:pPr>
        <w:spacing w:line="360" w:lineRule="auto"/>
        <w:jc w:val="both"/>
      </w:pPr>
      <w:r>
        <w:t>iv.</w:t>
      </w:r>
      <w:r>
        <w:tab/>
        <w:t>Manutenzioni _ investimenti in attrezzature e programmazione di interventi preventivi e predittivi, con conferma dei costi dell’esercizio 2016;</w:t>
      </w:r>
    </w:p>
    <w:p w:rsidR="00787179" w:rsidRDefault="00787179" w:rsidP="00787179">
      <w:pPr>
        <w:spacing w:line="360" w:lineRule="auto"/>
        <w:jc w:val="both"/>
      </w:pPr>
      <w:r>
        <w:t>v.</w:t>
      </w:r>
      <w:r>
        <w:tab/>
        <w:t>Affissioni _ internalizzazione degli incassi, creazione di bacheche multimediali e censimento e manutenzione delle bacheche distribuite sul territorio cittadino;</w:t>
      </w:r>
    </w:p>
    <w:p w:rsidR="00787179" w:rsidRDefault="00787179" w:rsidP="00787179">
      <w:pPr>
        <w:spacing w:line="360" w:lineRule="auto"/>
        <w:jc w:val="both"/>
      </w:pPr>
      <w:r>
        <w:t>vi.</w:t>
      </w:r>
      <w:r>
        <w:tab/>
        <w:t>Parcheggi _ completamento degli investimenti, messa a punto prioritaria del sistema della sosta dei residenti, definizione di un modello di gestione in convenzione con le associazioni di categoria e dei commercianti, avvio del servizio;</w:t>
      </w:r>
    </w:p>
    <w:p w:rsidR="00787179" w:rsidRDefault="00787179" w:rsidP="00787179">
      <w:pPr>
        <w:spacing w:line="360" w:lineRule="auto"/>
        <w:jc w:val="both"/>
      </w:pPr>
      <w:r>
        <w:t>vii.</w:t>
      </w:r>
      <w:r>
        <w:tab/>
        <w:t>Terza Sede Farmacia Comunale _ avvio delle attività operative entro il primo semestre 2017, implementazione di servizi sociali e di prenotazione e consegna farmaci, oltre che servizi per le fasce deboli della cittadinanza;</w:t>
      </w:r>
    </w:p>
    <w:p w:rsidR="00787179" w:rsidRDefault="00787179" w:rsidP="00787179">
      <w:pPr>
        <w:spacing w:line="360" w:lineRule="auto"/>
        <w:jc w:val="both"/>
      </w:pPr>
      <w:r>
        <w:t>viii.</w:t>
      </w:r>
      <w:r>
        <w:tab/>
        <w:t>Efficientamenti Tecnologici _ attuazione del progetto bellizzismart, finalizzato a migliorare la fruizione dei servizi comunali, mediante l’impiego delle nuove tecnologie;</w:t>
      </w:r>
    </w:p>
    <w:p w:rsidR="00787179" w:rsidRDefault="00787179" w:rsidP="00787179">
      <w:pPr>
        <w:spacing w:line="360" w:lineRule="auto"/>
        <w:jc w:val="both"/>
      </w:pPr>
      <w:r>
        <w:t>ix.</w:t>
      </w:r>
      <w:r>
        <w:tab/>
        <w:t>Efficientamenti Energetici _ attuazione di interventi nella direzione del risparmio dell’energia, facendo ricorso a soggetti specializzati;</w:t>
      </w:r>
    </w:p>
    <w:p w:rsidR="00787179" w:rsidRDefault="00787179" w:rsidP="00787179">
      <w:pPr>
        <w:spacing w:line="360" w:lineRule="auto"/>
        <w:jc w:val="both"/>
      </w:pPr>
      <w:r>
        <w:t>x.</w:t>
      </w:r>
      <w:r>
        <w:tab/>
        <w:t>Gestione Impianto Sportivo Nuova Primavera _ attuazione di un sistema di valorizzazione dell’impianto, gestione diretta dei rapporti con l’utenza, attività accessorie, progetti ludici ed educativi;</w:t>
      </w:r>
    </w:p>
    <w:p w:rsidR="0047469F" w:rsidRDefault="00787179" w:rsidP="00787179">
      <w:pPr>
        <w:spacing w:line="360" w:lineRule="auto"/>
        <w:jc w:val="both"/>
      </w:pPr>
      <w:r>
        <w:t>xi.</w:t>
      </w:r>
      <w:r>
        <w:tab/>
        <w:t>Supporto Amministrativo alla Centrale Unica di Committenza _ internazionalizzazione di attività amministrative, dematerializzazione dei progetti, definizione ed attuazione di un progetto pilota di best practice amministrative.</w:t>
      </w:r>
    </w:p>
    <w:p w:rsidR="00787179" w:rsidRPr="00787179" w:rsidRDefault="00787179" w:rsidP="00787179">
      <w:pPr>
        <w:spacing w:line="360" w:lineRule="auto"/>
        <w:jc w:val="center"/>
        <w:rPr>
          <w:b/>
          <w:sz w:val="28"/>
          <w:szCs w:val="28"/>
        </w:rPr>
      </w:pPr>
      <w:r w:rsidRPr="00787179">
        <w:rPr>
          <w:b/>
          <w:sz w:val="28"/>
          <w:szCs w:val="28"/>
        </w:rPr>
        <w:t>**************************************</w:t>
      </w:r>
    </w:p>
    <w:p w:rsidR="00787179" w:rsidRDefault="00787179">
      <w:pPr>
        <w:rPr>
          <w:b/>
          <w:i/>
        </w:rPr>
      </w:pPr>
      <w:r>
        <w:rPr>
          <w:b/>
          <w:i/>
        </w:rPr>
        <w:br w:type="page"/>
      </w:r>
    </w:p>
    <w:p w:rsidR="00787179" w:rsidRDefault="00787179" w:rsidP="00787179">
      <w:pPr>
        <w:spacing w:line="360" w:lineRule="auto"/>
        <w:jc w:val="both"/>
      </w:pPr>
      <w:r w:rsidRPr="00787179">
        <w:rPr>
          <w:b/>
          <w:i/>
        </w:rPr>
        <w:lastRenderedPageBreak/>
        <w:t>La gestione dell’esercizio 2016</w:t>
      </w:r>
      <w:r>
        <w:t>, si è caratterizzata per i seguenti dettagli economici, finanziari e patrimoniali:</w:t>
      </w:r>
    </w:p>
    <w:p w:rsidR="00787179" w:rsidRDefault="00787179" w:rsidP="00787179">
      <w:pPr>
        <w:spacing w:line="360" w:lineRule="auto"/>
        <w:jc w:val="both"/>
      </w:pPr>
      <w:r w:rsidRPr="00687A89">
        <w:rPr>
          <w:noProof/>
        </w:rPr>
        <w:drawing>
          <wp:inline distT="0" distB="0" distL="0" distR="0">
            <wp:extent cx="6120130" cy="6574155"/>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6574155"/>
                    </a:xfrm>
                    <a:prstGeom prst="rect">
                      <a:avLst/>
                    </a:prstGeom>
                    <a:noFill/>
                    <a:ln>
                      <a:noFill/>
                    </a:ln>
                  </pic:spPr>
                </pic:pic>
              </a:graphicData>
            </a:graphic>
          </wp:inline>
        </w:drawing>
      </w:r>
    </w:p>
    <w:p w:rsidR="00787179" w:rsidRDefault="0083526E" w:rsidP="00787179">
      <w:pPr>
        <w:spacing w:line="360" w:lineRule="auto"/>
        <w:jc w:val="both"/>
      </w:pPr>
      <w:r w:rsidRPr="002C1E56">
        <w:rPr>
          <w:noProof/>
        </w:rPr>
        <w:lastRenderedPageBreak/>
        <w:drawing>
          <wp:inline distT="0" distB="0" distL="0" distR="0">
            <wp:extent cx="6115050" cy="7315200"/>
            <wp:effectExtent l="0" t="0" r="0" b="0"/>
            <wp:docPr id="528" name="Immagin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321277"/>
                    </a:xfrm>
                    <a:prstGeom prst="rect">
                      <a:avLst/>
                    </a:prstGeom>
                    <a:noFill/>
                    <a:ln>
                      <a:noFill/>
                    </a:ln>
                  </pic:spPr>
                </pic:pic>
              </a:graphicData>
            </a:graphic>
          </wp:inline>
        </w:drawing>
      </w:r>
    </w:p>
    <w:p w:rsidR="00787179" w:rsidRDefault="00787179" w:rsidP="00787179">
      <w:pPr>
        <w:spacing w:line="360" w:lineRule="auto"/>
        <w:jc w:val="both"/>
      </w:pPr>
      <w:r w:rsidRPr="00C61D51">
        <w:rPr>
          <w:noProof/>
        </w:rPr>
        <w:lastRenderedPageBreak/>
        <w:drawing>
          <wp:inline distT="0" distB="0" distL="0" distR="0">
            <wp:extent cx="6120130" cy="7008495"/>
            <wp:effectExtent l="0" t="0" r="0" b="1905"/>
            <wp:docPr id="537" name="Immagin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008495"/>
                    </a:xfrm>
                    <a:prstGeom prst="rect">
                      <a:avLst/>
                    </a:prstGeom>
                    <a:noFill/>
                    <a:ln>
                      <a:noFill/>
                    </a:ln>
                  </pic:spPr>
                </pic:pic>
              </a:graphicData>
            </a:graphic>
          </wp:inline>
        </w:drawing>
      </w:r>
    </w:p>
    <w:p w:rsidR="00787179" w:rsidRDefault="00787179" w:rsidP="00787179">
      <w:pPr>
        <w:spacing w:line="360" w:lineRule="auto"/>
        <w:jc w:val="both"/>
      </w:pPr>
    </w:p>
    <w:p w:rsidR="00787179" w:rsidRDefault="00787179" w:rsidP="00787179">
      <w:pPr>
        <w:spacing w:line="360" w:lineRule="auto"/>
        <w:jc w:val="both"/>
      </w:pPr>
    </w:p>
    <w:p w:rsidR="00787179" w:rsidRDefault="00787179" w:rsidP="00787179">
      <w:pPr>
        <w:spacing w:line="360" w:lineRule="auto"/>
        <w:jc w:val="both"/>
      </w:pPr>
    </w:p>
    <w:p w:rsidR="00787179" w:rsidRDefault="00787179" w:rsidP="00787179">
      <w:pPr>
        <w:spacing w:line="360" w:lineRule="auto"/>
        <w:jc w:val="both"/>
      </w:pPr>
    </w:p>
    <w:p w:rsidR="00787179" w:rsidRDefault="00787179" w:rsidP="00787179">
      <w:pPr>
        <w:spacing w:line="360" w:lineRule="auto"/>
        <w:jc w:val="both"/>
      </w:pPr>
      <w:r w:rsidRPr="00687A89">
        <w:rPr>
          <w:noProof/>
        </w:rPr>
        <w:lastRenderedPageBreak/>
        <w:drawing>
          <wp:inline distT="0" distB="0" distL="0" distR="0">
            <wp:extent cx="6120130" cy="6801485"/>
            <wp:effectExtent l="0" t="0" r="0" b="0"/>
            <wp:docPr id="535" name="Immagin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6801485"/>
                    </a:xfrm>
                    <a:prstGeom prst="rect">
                      <a:avLst/>
                    </a:prstGeom>
                    <a:noFill/>
                    <a:ln>
                      <a:noFill/>
                    </a:ln>
                  </pic:spPr>
                </pic:pic>
              </a:graphicData>
            </a:graphic>
          </wp:inline>
        </w:drawing>
      </w:r>
    </w:p>
    <w:p w:rsidR="00787179" w:rsidRDefault="00787179" w:rsidP="00787179">
      <w:pPr>
        <w:spacing w:line="360" w:lineRule="auto"/>
        <w:jc w:val="both"/>
      </w:pPr>
    </w:p>
    <w:p w:rsidR="00787179" w:rsidRDefault="00787179" w:rsidP="00787179">
      <w:pPr>
        <w:spacing w:line="360" w:lineRule="auto"/>
        <w:jc w:val="both"/>
      </w:pPr>
      <w:r>
        <w:t>Per una dettagliata rappresentazione di ogni singola posta di bilancio, si rimanda alla Nota Integrativa di Accompagnamento al Bilancio.</w:t>
      </w:r>
    </w:p>
    <w:p w:rsidR="00787179" w:rsidRPr="00787179" w:rsidRDefault="00787179" w:rsidP="00787179">
      <w:pPr>
        <w:spacing w:line="360" w:lineRule="auto"/>
        <w:jc w:val="center"/>
        <w:rPr>
          <w:b/>
          <w:sz w:val="28"/>
          <w:szCs w:val="28"/>
        </w:rPr>
      </w:pPr>
      <w:r w:rsidRPr="00787179">
        <w:rPr>
          <w:b/>
          <w:sz w:val="28"/>
          <w:szCs w:val="28"/>
        </w:rPr>
        <w:t>**************************************</w:t>
      </w:r>
    </w:p>
    <w:p w:rsidR="00787179" w:rsidRDefault="00787179" w:rsidP="00787179">
      <w:pPr>
        <w:spacing w:line="360" w:lineRule="auto"/>
        <w:jc w:val="both"/>
      </w:pPr>
    </w:p>
    <w:p w:rsidR="00787179" w:rsidRDefault="00787179" w:rsidP="00787179">
      <w:pPr>
        <w:spacing w:line="360" w:lineRule="auto"/>
        <w:jc w:val="both"/>
      </w:pPr>
    </w:p>
    <w:p w:rsidR="00787179" w:rsidRDefault="00787179" w:rsidP="00787179">
      <w:pPr>
        <w:spacing w:line="360" w:lineRule="auto"/>
        <w:jc w:val="both"/>
      </w:pPr>
      <w:r>
        <w:lastRenderedPageBreak/>
        <w:t>Il Bilancio di previsione 2017-2019, prevede le seguenti rappresentazioni:</w:t>
      </w:r>
    </w:p>
    <w:p w:rsidR="00787179" w:rsidRDefault="00787179" w:rsidP="00787179">
      <w:pPr>
        <w:pStyle w:val="Titolo1"/>
        <w:jc w:val="center"/>
      </w:pPr>
      <w:bookmarkStart w:id="1" w:name="_Toc474433667"/>
      <w:r>
        <w:t>I CONTI ECONOMICI INDUSTRIALI 2017-2019</w:t>
      </w:r>
      <w:bookmarkEnd w:id="1"/>
    </w:p>
    <w:p w:rsidR="00787179" w:rsidRDefault="00787179" w:rsidP="00787179">
      <w:pPr>
        <w:rPr>
          <w:rFonts w:asciiTheme="majorHAnsi" w:hAnsiTheme="majorHAnsi"/>
        </w:rPr>
      </w:pPr>
      <w:r w:rsidRPr="009F370D">
        <w:rPr>
          <w:noProof/>
        </w:rPr>
        <w:drawing>
          <wp:inline distT="0" distB="0" distL="0" distR="0">
            <wp:extent cx="6120189" cy="7278624"/>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278554"/>
                    </a:xfrm>
                    <a:prstGeom prst="rect">
                      <a:avLst/>
                    </a:prstGeom>
                    <a:noFill/>
                    <a:ln>
                      <a:noFill/>
                    </a:ln>
                  </pic:spPr>
                </pic:pic>
              </a:graphicData>
            </a:graphic>
          </wp:inline>
        </w:drawing>
      </w:r>
    </w:p>
    <w:p w:rsidR="00787179" w:rsidRDefault="00787179" w:rsidP="00787179">
      <w:pPr>
        <w:rPr>
          <w:rFonts w:asciiTheme="majorHAnsi" w:hAnsiTheme="majorHAnsi"/>
        </w:rPr>
      </w:pPr>
      <w:r>
        <w:rPr>
          <w:rFonts w:asciiTheme="majorHAnsi" w:hAnsiTheme="majorHAnsi"/>
        </w:rPr>
        <w:br w:type="page"/>
      </w:r>
    </w:p>
    <w:p w:rsidR="00787179" w:rsidRDefault="00787179" w:rsidP="00787179">
      <w:pPr>
        <w:pStyle w:val="Titolo1"/>
        <w:jc w:val="center"/>
      </w:pPr>
      <w:bookmarkStart w:id="2" w:name="_Toc474433668"/>
      <w:r>
        <w:lastRenderedPageBreak/>
        <w:t>L’IMPATTO OCCUPAZIONALE</w:t>
      </w:r>
      <w:bookmarkEnd w:id="2"/>
    </w:p>
    <w:p w:rsidR="00787179" w:rsidRDefault="00787179" w:rsidP="00787179">
      <w:pPr>
        <w:rPr>
          <w:rFonts w:asciiTheme="majorHAnsi" w:hAnsiTheme="majorHAnsi"/>
        </w:rPr>
      </w:pPr>
      <w:r w:rsidRPr="00BF1E4B">
        <w:rPr>
          <w:noProof/>
        </w:rPr>
        <w:drawing>
          <wp:inline distT="0" distB="0" distL="0" distR="0">
            <wp:extent cx="6124575" cy="185737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856027"/>
                    </a:xfrm>
                    <a:prstGeom prst="rect">
                      <a:avLst/>
                    </a:prstGeom>
                    <a:noFill/>
                    <a:ln>
                      <a:noFill/>
                    </a:ln>
                  </pic:spPr>
                </pic:pic>
              </a:graphicData>
            </a:graphic>
          </wp:inline>
        </w:drawing>
      </w:r>
    </w:p>
    <w:p w:rsidR="00787179" w:rsidRDefault="00787179" w:rsidP="00787179">
      <w:pPr>
        <w:pStyle w:val="Titolo1"/>
        <w:jc w:val="center"/>
      </w:pPr>
      <w:bookmarkStart w:id="3" w:name="_Toc474433669"/>
      <w:r w:rsidRPr="00211790">
        <w:t>Le verifiche ex D.Lgs 175 /2016</w:t>
      </w:r>
      <w:r>
        <w:t>: Società Legale, Possibile,  Migliore</w:t>
      </w:r>
      <w:bookmarkEnd w:id="3"/>
    </w:p>
    <w:p w:rsidR="00787179" w:rsidRPr="00F72567" w:rsidRDefault="00787179" w:rsidP="00787179">
      <w:r w:rsidRPr="00F72567">
        <w:rPr>
          <w:noProof/>
        </w:rPr>
        <w:drawing>
          <wp:inline distT="0" distB="0" distL="0" distR="0">
            <wp:extent cx="6115049" cy="2514600"/>
            <wp:effectExtent l="0" t="0" r="635"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516689"/>
                    </a:xfrm>
                    <a:prstGeom prst="rect">
                      <a:avLst/>
                    </a:prstGeom>
                    <a:noFill/>
                    <a:ln>
                      <a:noFill/>
                    </a:ln>
                  </pic:spPr>
                </pic:pic>
              </a:graphicData>
            </a:graphic>
          </wp:inline>
        </w:drawing>
      </w:r>
    </w:p>
    <w:p w:rsidR="00787179" w:rsidRDefault="00787179" w:rsidP="00787179">
      <w:pPr>
        <w:rPr>
          <w:rFonts w:asciiTheme="majorHAnsi" w:hAnsiTheme="majorHAnsi"/>
        </w:rPr>
      </w:pPr>
    </w:p>
    <w:p w:rsidR="0083526E" w:rsidRPr="00787179" w:rsidRDefault="0083526E" w:rsidP="0083526E">
      <w:pPr>
        <w:spacing w:line="360" w:lineRule="auto"/>
        <w:jc w:val="center"/>
        <w:rPr>
          <w:b/>
          <w:sz w:val="28"/>
          <w:szCs w:val="28"/>
        </w:rPr>
      </w:pPr>
      <w:r w:rsidRPr="00787179">
        <w:rPr>
          <w:b/>
          <w:sz w:val="28"/>
          <w:szCs w:val="28"/>
        </w:rPr>
        <w:t>**************************************</w:t>
      </w:r>
    </w:p>
    <w:p w:rsidR="0083526E" w:rsidRDefault="00787179" w:rsidP="0083526E">
      <w:pPr>
        <w:spacing w:line="360" w:lineRule="auto"/>
        <w:jc w:val="both"/>
      </w:pPr>
      <w:r w:rsidRPr="0083526E">
        <w:rPr>
          <w:b/>
          <w:i/>
        </w:rPr>
        <w:t>Spettabile Socio Unico</w:t>
      </w:r>
      <w:r>
        <w:t xml:space="preserve">, </w:t>
      </w:r>
      <w:r w:rsidR="0083526E">
        <w:t xml:space="preserve">ritenendo di aver compiutamente rappresentato i fatti sociali </w:t>
      </w:r>
      <w:r w:rsidR="0083526E" w:rsidRPr="0083526E">
        <w:t xml:space="preserve">e le prospettive del prossimo triennio, rimandando ad una dettagliata lettura dei documenti a corredo, in uno con il Piano Industriale 2017-2019, questo Organo Amministrativo, conclude la presente Relazione di Accompagnamento al Bilancio, invitando l’Assemblea </w:t>
      </w:r>
      <w:r w:rsidR="0083526E">
        <w:t>all’approvazione l’allegato bilancio dell’esercizio 2016, composto da Stato Patrimoniale, Conto Economico e Nota Integrativa, proponendo l’accantonamento a riserva indisponibile del Risultato dell’Esercizio, pari ad Euro 640.011, tenuto conto che esso dovrà presidiare la struttura del debito acquisito per effetto della incorporazione della Cooperazione e Sviluppo S.r.l., oggi cessata.</w:t>
      </w:r>
    </w:p>
    <w:p w:rsidR="0083526E" w:rsidRDefault="0083526E" w:rsidP="00787179">
      <w:pPr>
        <w:spacing w:line="360" w:lineRule="auto"/>
        <w:jc w:val="both"/>
      </w:pPr>
      <w:r>
        <w:t>Bellizzi, Lì 13.02.2017</w:t>
      </w:r>
    </w:p>
    <w:p w:rsidR="0083526E" w:rsidRDefault="0083526E" w:rsidP="00787179">
      <w:pPr>
        <w:spacing w:line="360" w:lineRule="auto"/>
        <w:jc w:val="both"/>
      </w:pPr>
      <w:r>
        <w:tab/>
      </w:r>
      <w:r>
        <w:tab/>
      </w:r>
      <w:r>
        <w:tab/>
      </w:r>
      <w:r>
        <w:tab/>
      </w:r>
      <w:r>
        <w:tab/>
      </w:r>
      <w:r>
        <w:tab/>
      </w:r>
      <w:r>
        <w:tab/>
      </w:r>
      <w:r>
        <w:tab/>
        <w:t>L’AMMINISTRATORE UNICO</w:t>
      </w:r>
    </w:p>
    <w:p w:rsidR="00133B9C" w:rsidRDefault="00133B9C" w:rsidP="00467B2B">
      <w:pPr>
        <w:spacing w:line="360" w:lineRule="auto"/>
        <w:jc w:val="both"/>
      </w:pPr>
    </w:p>
    <w:sectPr w:rsidR="00133B9C" w:rsidSect="009209E9">
      <w:headerReference w:type="default" r:id="rId16"/>
      <w:footerReference w:type="default" r:id="rId17"/>
      <w:pgSz w:w="11906" w:h="16838" w:code="9"/>
      <w:pgMar w:top="226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E9" w:rsidRDefault="006B56E9">
      <w:r>
        <w:separator/>
      </w:r>
    </w:p>
  </w:endnote>
  <w:endnote w:type="continuationSeparator" w:id="0">
    <w:p w:rsidR="006B56E9" w:rsidRDefault="006B5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19134"/>
      <w:docPartObj>
        <w:docPartGallery w:val="Page Numbers (Bottom of Page)"/>
        <w:docPartUnique/>
      </w:docPartObj>
    </w:sdtPr>
    <w:sdtContent>
      <w:p w:rsidR="006A6E98" w:rsidRDefault="000520AD">
        <w:pPr>
          <w:pStyle w:val="Pidipagina"/>
          <w:jc w:val="right"/>
        </w:pPr>
        <w:r>
          <w:fldChar w:fldCharType="begin"/>
        </w:r>
        <w:r w:rsidR="0075083A">
          <w:instrText xml:space="preserve"> PAGE   \* MERGEFORMAT </w:instrText>
        </w:r>
        <w:r>
          <w:fldChar w:fldCharType="separate"/>
        </w:r>
        <w:r w:rsidR="000F402C">
          <w:rPr>
            <w:noProof/>
          </w:rPr>
          <w:t>2</w:t>
        </w:r>
        <w:r>
          <w:rPr>
            <w:noProof/>
          </w:rPr>
          <w:fldChar w:fldCharType="end"/>
        </w:r>
      </w:p>
    </w:sdtContent>
  </w:sdt>
  <w:p w:rsidR="006A6E98" w:rsidRPr="00A84C29" w:rsidRDefault="006A6E98" w:rsidP="00A84C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E9" w:rsidRDefault="006B56E9">
      <w:r>
        <w:separator/>
      </w:r>
    </w:p>
  </w:footnote>
  <w:footnote w:type="continuationSeparator" w:id="0">
    <w:p w:rsidR="006B56E9" w:rsidRDefault="006B5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183B527A"/>
    <w:multiLevelType w:val="hybridMultilevel"/>
    <w:tmpl w:val="A7B8F1D6"/>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5357C9"/>
    <w:multiLevelType w:val="hybridMultilevel"/>
    <w:tmpl w:val="112C08CA"/>
    <w:lvl w:ilvl="0" w:tplc="61B261C4">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7A36436E"/>
    <w:multiLevelType w:val="hybridMultilevel"/>
    <w:tmpl w:val="1A56A99C"/>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716CE"/>
    <w:rsid w:val="000021DE"/>
    <w:rsid w:val="000030D8"/>
    <w:rsid w:val="00003553"/>
    <w:rsid w:val="00006287"/>
    <w:rsid w:val="0001370E"/>
    <w:rsid w:val="00013ED9"/>
    <w:rsid w:val="0001416A"/>
    <w:rsid w:val="00025495"/>
    <w:rsid w:val="00026A8F"/>
    <w:rsid w:val="00031B6F"/>
    <w:rsid w:val="000439E4"/>
    <w:rsid w:val="0004496E"/>
    <w:rsid w:val="00046D75"/>
    <w:rsid w:val="00050243"/>
    <w:rsid w:val="00050432"/>
    <w:rsid w:val="000520AD"/>
    <w:rsid w:val="000619CE"/>
    <w:rsid w:val="00061B2D"/>
    <w:rsid w:val="00071335"/>
    <w:rsid w:val="00071D5A"/>
    <w:rsid w:val="00072769"/>
    <w:rsid w:val="00072E5C"/>
    <w:rsid w:val="00087EE2"/>
    <w:rsid w:val="00091F86"/>
    <w:rsid w:val="00093A89"/>
    <w:rsid w:val="00094F61"/>
    <w:rsid w:val="00096574"/>
    <w:rsid w:val="000A0172"/>
    <w:rsid w:val="000A158A"/>
    <w:rsid w:val="000A4002"/>
    <w:rsid w:val="000A49DE"/>
    <w:rsid w:val="000D0564"/>
    <w:rsid w:val="000D3E42"/>
    <w:rsid w:val="000E18CB"/>
    <w:rsid w:val="000E1D32"/>
    <w:rsid w:val="000E2D14"/>
    <w:rsid w:val="000F35E7"/>
    <w:rsid w:val="000F402C"/>
    <w:rsid w:val="000F412C"/>
    <w:rsid w:val="000F574C"/>
    <w:rsid w:val="0010213F"/>
    <w:rsid w:val="001026B0"/>
    <w:rsid w:val="001034E8"/>
    <w:rsid w:val="00105CAE"/>
    <w:rsid w:val="00114ADA"/>
    <w:rsid w:val="001159F5"/>
    <w:rsid w:val="00120783"/>
    <w:rsid w:val="0012390F"/>
    <w:rsid w:val="00123CB2"/>
    <w:rsid w:val="001245D7"/>
    <w:rsid w:val="00124693"/>
    <w:rsid w:val="00132642"/>
    <w:rsid w:val="00133B9C"/>
    <w:rsid w:val="0014076E"/>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97799"/>
    <w:rsid w:val="001A413A"/>
    <w:rsid w:val="001A43C3"/>
    <w:rsid w:val="001A472C"/>
    <w:rsid w:val="001B326C"/>
    <w:rsid w:val="001B54C9"/>
    <w:rsid w:val="001C3A51"/>
    <w:rsid w:val="001C56B7"/>
    <w:rsid w:val="001C7E87"/>
    <w:rsid w:val="001D3174"/>
    <w:rsid w:val="001D3E9A"/>
    <w:rsid w:val="001D4EEC"/>
    <w:rsid w:val="001D6C50"/>
    <w:rsid w:val="001E1270"/>
    <w:rsid w:val="001E3DEC"/>
    <w:rsid w:val="001E7031"/>
    <w:rsid w:val="001F1100"/>
    <w:rsid w:val="00207768"/>
    <w:rsid w:val="0021662F"/>
    <w:rsid w:val="00223EF4"/>
    <w:rsid w:val="0022524D"/>
    <w:rsid w:val="00230FA5"/>
    <w:rsid w:val="00247EC0"/>
    <w:rsid w:val="00255CE2"/>
    <w:rsid w:val="0026048B"/>
    <w:rsid w:val="0027138E"/>
    <w:rsid w:val="00284842"/>
    <w:rsid w:val="00286165"/>
    <w:rsid w:val="002A0D21"/>
    <w:rsid w:val="002A11DC"/>
    <w:rsid w:val="002A64C7"/>
    <w:rsid w:val="002B0556"/>
    <w:rsid w:val="002B1AD1"/>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6CE9"/>
    <w:rsid w:val="003B75EF"/>
    <w:rsid w:val="003C1E31"/>
    <w:rsid w:val="003C6E16"/>
    <w:rsid w:val="003C74BE"/>
    <w:rsid w:val="003D14D6"/>
    <w:rsid w:val="003D2A33"/>
    <w:rsid w:val="003D5ABE"/>
    <w:rsid w:val="003E6CF7"/>
    <w:rsid w:val="003F0F80"/>
    <w:rsid w:val="003F55FC"/>
    <w:rsid w:val="003F57E9"/>
    <w:rsid w:val="004048D2"/>
    <w:rsid w:val="004057CE"/>
    <w:rsid w:val="00410DFE"/>
    <w:rsid w:val="00414D80"/>
    <w:rsid w:val="00417090"/>
    <w:rsid w:val="004279A0"/>
    <w:rsid w:val="00433358"/>
    <w:rsid w:val="004337F5"/>
    <w:rsid w:val="004372F3"/>
    <w:rsid w:val="00440B43"/>
    <w:rsid w:val="0044323E"/>
    <w:rsid w:val="00446D20"/>
    <w:rsid w:val="00453D43"/>
    <w:rsid w:val="00454657"/>
    <w:rsid w:val="00455AD3"/>
    <w:rsid w:val="004604A1"/>
    <w:rsid w:val="004629B5"/>
    <w:rsid w:val="00465F29"/>
    <w:rsid w:val="00467B2B"/>
    <w:rsid w:val="0047469F"/>
    <w:rsid w:val="00476CD1"/>
    <w:rsid w:val="00481BB4"/>
    <w:rsid w:val="004828B6"/>
    <w:rsid w:val="00490C2D"/>
    <w:rsid w:val="00492759"/>
    <w:rsid w:val="00494E63"/>
    <w:rsid w:val="00495980"/>
    <w:rsid w:val="004A789D"/>
    <w:rsid w:val="004B3C61"/>
    <w:rsid w:val="004B7387"/>
    <w:rsid w:val="004C13A2"/>
    <w:rsid w:val="004C65C0"/>
    <w:rsid w:val="004D011B"/>
    <w:rsid w:val="004D122C"/>
    <w:rsid w:val="004D78DC"/>
    <w:rsid w:val="004E2020"/>
    <w:rsid w:val="004E5270"/>
    <w:rsid w:val="004E5972"/>
    <w:rsid w:val="004F1C55"/>
    <w:rsid w:val="004F4526"/>
    <w:rsid w:val="00500A0F"/>
    <w:rsid w:val="005016C2"/>
    <w:rsid w:val="00501B26"/>
    <w:rsid w:val="00503E3B"/>
    <w:rsid w:val="00507F90"/>
    <w:rsid w:val="0051051F"/>
    <w:rsid w:val="00515635"/>
    <w:rsid w:val="00521021"/>
    <w:rsid w:val="0052275F"/>
    <w:rsid w:val="00531A07"/>
    <w:rsid w:val="00531E8F"/>
    <w:rsid w:val="00533AD1"/>
    <w:rsid w:val="005341F4"/>
    <w:rsid w:val="00536C73"/>
    <w:rsid w:val="00543158"/>
    <w:rsid w:val="005502F2"/>
    <w:rsid w:val="0055095C"/>
    <w:rsid w:val="00551F13"/>
    <w:rsid w:val="00564C72"/>
    <w:rsid w:val="005654AD"/>
    <w:rsid w:val="005658C9"/>
    <w:rsid w:val="005717CB"/>
    <w:rsid w:val="00572C09"/>
    <w:rsid w:val="0057415E"/>
    <w:rsid w:val="0058374A"/>
    <w:rsid w:val="00584D13"/>
    <w:rsid w:val="00592AC6"/>
    <w:rsid w:val="005A7A8E"/>
    <w:rsid w:val="005B308B"/>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04F3A"/>
    <w:rsid w:val="006200F8"/>
    <w:rsid w:val="00630C99"/>
    <w:rsid w:val="00634A8C"/>
    <w:rsid w:val="00644A56"/>
    <w:rsid w:val="006457DE"/>
    <w:rsid w:val="00651291"/>
    <w:rsid w:val="00651A94"/>
    <w:rsid w:val="00652FE5"/>
    <w:rsid w:val="00654706"/>
    <w:rsid w:val="00655862"/>
    <w:rsid w:val="00656E0B"/>
    <w:rsid w:val="00660F89"/>
    <w:rsid w:val="0066160B"/>
    <w:rsid w:val="00663EE3"/>
    <w:rsid w:val="006664F1"/>
    <w:rsid w:val="00666B25"/>
    <w:rsid w:val="00673DAF"/>
    <w:rsid w:val="006760AE"/>
    <w:rsid w:val="0067683F"/>
    <w:rsid w:val="0067748F"/>
    <w:rsid w:val="00687FBA"/>
    <w:rsid w:val="006918E9"/>
    <w:rsid w:val="006A638A"/>
    <w:rsid w:val="006A6E98"/>
    <w:rsid w:val="006A74DB"/>
    <w:rsid w:val="006B157C"/>
    <w:rsid w:val="006B5182"/>
    <w:rsid w:val="006B56E9"/>
    <w:rsid w:val="006C1614"/>
    <w:rsid w:val="006C2441"/>
    <w:rsid w:val="006C7FE2"/>
    <w:rsid w:val="006D1ECF"/>
    <w:rsid w:val="006D2301"/>
    <w:rsid w:val="006D23C1"/>
    <w:rsid w:val="006E0BD9"/>
    <w:rsid w:val="006E39A3"/>
    <w:rsid w:val="006F384C"/>
    <w:rsid w:val="006F779C"/>
    <w:rsid w:val="007046FB"/>
    <w:rsid w:val="00710E35"/>
    <w:rsid w:val="007164AC"/>
    <w:rsid w:val="007166E2"/>
    <w:rsid w:val="007216DA"/>
    <w:rsid w:val="00726D80"/>
    <w:rsid w:val="007310E8"/>
    <w:rsid w:val="007320AE"/>
    <w:rsid w:val="007336C1"/>
    <w:rsid w:val="00733A8F"/>
    <w:rsid w:val="00733BAF"/>
    <w:rsid w:val="00737C83"/>
    <w:rsid w:val="00744163"/>
    <w:rsid w:val="00746B71"/>
    <w:rsid w:val="0075083A"/>
    <w:rsid w:val="00751D2E"/>
    <w:rsid w:val="007536EA"/>
    <w:rsid w:val="0075547F"/>
    <w:rsid w:val="007575C7"/>
    <w:rsid w:val="0076100E"/>
    <w:rsid w:val="00761325"/>
    <w:rsid w:val="00763351"/>
    <w:rsid w:val="00765E25"/>
    <w:rsid w:val="00767981"/>
    <w:rsid w:val="0077067C"/>
    <w:rsid w:val="00774268"/>
    <w:rsid w:val="00782666"/>
    <w:rsid w:val="00783828"/>
    <w:rsid w:val="00787179"/>
    <w:rsid w:val="00794C24"/>
    <w:rsid w:val="007A0F9C"/>
    <w:rsid w:val="007A1E5E"/>
    <w:rsid w:val="007B16B1"/>
    <w:rsid w:val="007B1A74"/>
    <w:rsid w:val="007B2569"/>
    <w:rsid w:val="007B5391"/>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3566"/>
    <w:rsid w:val="008175FE"/>
    <w:rsid w:val="008204ED"/>
    <w:rsid w:val="00822B99"/>
    <w:rsid w:val="00833D3B"/>
    <w:rsid w:val="0083526E"/>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4987"/>
    <w:rsid w:val="008C4AA9"/>
    <w:rsid w:val="008C73CE"/>
    <w:rsid w:val="008E138E"/>
    <w:rsid w:val="008E2239"/>
    <w:rsid w:val="008E2995"/>
    <w:rsid w:val="008E3C50"/>
    <w:rsid w:val="008E5DA8"/>
    <w:rsid w:val="008E63D1"/>
    <w:rsid w:val="008E64DD"/>
    <w:rsid w:val="008F03A7"/>
    <w:rsid w:val="008F15D1"/>
    <w:rsid w:val="008F26E3"/>
    <w:rsid w:val="008F6193"/>
    <w:rsid w:val="0090040A"/>
    <w:rsid w:val="00905021"/>
    <w:rsid w:val="00905CD4"/>
    <w:rsid w:val="009118A6"/>
    <w:rsid w:val="0091405B"/>
    <w:rsid w:val="009146BD"/>
    <w:rsid w:val="0091470B"/>
    <w:rsid w:val="009209E9"/>
    <w:rsid w:val="00921BF6"/>
    <w:rsid w:val="009232E9"/>
    <w:rsid w:val="00932ABF"/>
    <w:rsid w:val="009362B2"/>
    <w:rsid w:val="00936745"/>
    <w:rsid w:val="0094240F"/>
    <w:rsid w:val="009529C8"/>
    <w:rsid w:val="009538FA"/>
    <w:rsid w:val="00957EE1"/>
    <w:rsid w:val="009650BF"/>
    <w:rsid w:val="009673C8"/>
    <w:rsid w:val="0096773A"/>
    <w:rsid w:val="00974238"/>
    <w:rsid w:val="009757FB"/>
    <w:rsid w:val="009831E7"/>
    <w:rsid w:val="009843F0"/>
    <w:rsid w:val="0098456D"/>
    <w:rsid w:val="009854AE"/>
    <w:rsid w:val="00994798"/>
    <w:rsid w:val="00997278"/>
    <w:rsid w:val="009A0D1F"/>
    <w:rsid w:val="009A30FD"/>
    <w:rsid w:val="009A3698"/>
    <w:rsid w:val="009B07D2"/>
    <w:rsid w:val="009B3E11"/>
    <w:rsid w:val="009B4B04"/>
    <w:rsid w:val="009C14C0"/>
    <w:rsid w:val="009C1765"/>
    <w:rsid w:val="009C27A8"/>
    <w:rsid w:val="009C3A14"/>
    <w:rsid w:val="009D397E"/>
    <w:rsid w:val="009D5822"/>
    <w:rsid w:val="009E5A7E"/>
    <w:rsid w:val="009E7D19"/>
    <w:rsid w:val="009F4C8F"/>
    <w:rsid w:val="00A02C50"/>
    <w:rsid w:val="00A0650B"/>
    <w:rsid w:val="00A131D6"/>
    <w:rsid w:val="00A136F9"/>
    <w:rsid w:val="00A13E19"/>
    <w:rsid w:val="00A2052C"/>
    <w:rsid w:val="00A23FDA"/>
    <w:rsid w:val="00A36A55"/>
    <w:rsid w:val="00A37D8B"/>
    <w:rsid w:val="00A37DF2"/>
    <w:rsid w:val="00A40E7E"/>
    <w:rsid w:val="00A41E2A"/>
    <w:rsid w:val="00A4305F"/>
    <w:rsid w:val="00A478F0"/>
    <w:rsid w:val="00A53059"/>
    <w:rsid w:val="00A55A34"/>
    <w:rsid w:val="00A77971"/>
    <w:rsid w:val="00A8242E"/>
    <w:rsid w:val="00A84C29"/>
    <w:rsid w:val="00A859D4"/>
    <w:rsid w:val="00A9303A"/>
    <w:rsid w:val="00A94CF1"/>
    <w:rsid w:val="00A9516B"/>
    <w:rsid w:val="00A97E5B"/>
    <w:rsid w:val="00AA29AE"/>
    <w:rsid w:val="00AB26F0"/>
    <w:rsid w:val="00AB6316"/>
    <w:rsid w:val="00AB651E"/>
    <w:rsid w:val="00AD03FF"/>
    <w:rsid w:val="00AD191E"/>
    <w:rsid w:val="00AD407E"/>
    <w:rsid w:val="00AE0B4A"/>
    <w:rsid w:val="00AE444E"/>
    <w:rsid w:val="00AE6767"/>
    <w:rsid w:val="00AE6CB3"/>
    <w:rsid w:val="00AF2C01"/>
    <w:rsid w:val="00B002CE"/>
    <w:rsid w:val="00B00AA7"/>
    <w:rsid w:val="00B018DB"/>
    <w:rsid w:val="00B03CDB"/>
    <w:rsid w:val="00B04D63"/>
    <w:rsid w:val="00B07257"/>
    <w:rsid w:val="00B132A9"/>
    <w:rsid w:val="00B26CA5"/>
    <w:rsid w:val="00B27896"/>
    <w:rsid w:val="00B3546A"/>
    <w:rsid w:val="00B4479B"/>
    <w:rsid w:val="00B5053F"/>
    <w:rsid w:val="00B5056F"/>
    <w:rsid w:val="00B6144F"/>
    <w:rsid w:val="00B61DA9"/>
    <w:rsid w:val="00B64CBA"/>
    <w:rsid w:val="00B71850"/>
    <w:rsid w:val="00B7726B"/>
    <w:rsid w:val="00B772A8"/>
    <w:rsid w:val="00B80CA2"/>
    <w:rsid w:val="00B842D6"/>
    <w:rsid w:val="00B87759"/>
    <w:rsid w:val="00B90EC5"/>
    <w:rsid w:val="00B925B9"/>
    <w:rsid w:val="00BA73EC"/>
    <w:rsid w:val="00BB55A2"/>
    <w:rsid w:val="00BC126F"/>
    <w:rsid w:val="00BC1A32"/>
    <w:rsid w:val="00BC4791"/>
    <w:rsid w:val="00BE1737"/>
    <w:rsid w:val="00BE35BD"/>
    <w:rsid w:val="00BE4E7D"/>
    <w:rsid w:val="00BE64E0"/>
    <w:rsid w:val="00BE67AD"/>
    <w:rsid w:val="00BE6BA4"/>
    <w:rsid w:val="00BF6985"/>
    <w:rsid w:val="00C008AB"/>
    <w:rsid w:val="00C0267E"/>
    <w:rsid w:val="00C0647E"/>
    <w:rsid w:val="00C11332"/>
    <w:rsid w:val="00C125DA"/>
    <w:rsid w:val="00C1340D"/>
    <w:rsid w:val="00C1689D"/>
    <w:rsid w:val="00C3600D"/>
    <w:rsid w:val="00C414E2"/>
    <w:rsid w:val="00C47D3E"/>
    <w:rsid w:val="00C509D0"/>
    <w:rsid w:val="00C514C3"/>
    <w:rsid w:val="00C51B93"/>
    <w:rsid w:val="00C52B1A"/>
    <w:rsid w:val="00C53E54"/>
    <w:rsid w:val="00C62FF8"/>
    <w:rsid w:val="00C64713"/>
    <w:rsid w:val="00C64CDB"/>
    <w:rsid w:val="00C64E51"/>
    <w:rsid w:val="00C716CE"/>
    <w:rsid w:val="00C75AF5"/>
    <w:rsid w:val="00C80847"/>
    <w:rsid w:val="00C835B1"/>
    <w:rsid w:val="00C859D6"/>
    <w:rsid w:val="00C85B10"/>
    <w:rsid w:val="00C957D7"/>
    <w:rsid w:val="00CA28BE"/>
    <w:rsid w:val="00CA3321"/>
    <w:rsid w:val="00CA72F7"/>
    <w:rsid w:val="00CA7781"/>
    <w:rsid w:val="00CB2222"/>
    <w:rsid w:val="00CB32CE"/>
    <w:rsid w:val="00CB592A"/>
    <w:rsid w:val="00CC7671"/>
    <w:rsid w:val="00CE0304"/>
    <w:rsid w:val="00CE4D85"/>
    <w:rsid w:val="00CF36EE"/>
    <w:rsid w:val="00D02396"/>
    <w:rsid w:val="00D04D7C"/>
    <w:rsid w:val="00D06D38"/>
    <w:rsid w:val="00D10A69"/>
    <w:rsid w:val="00D14D1C"/>
    <w:rsid w:val="00D208D9"/>
    <w:rsid w:val="00D23AAC"/>
    <w:rsid w:val="00D26A97"/>
    <w:rsid w:val="00D27376"/>
    <w:rsid w:val="00D352C7"/>
    <w:rsid w:val="00D41A9F"/>
    <w:rsid w:val="00D44294"/>
    <w:rsid w:val="00D44C03"/>
    <w:rsid w:val="00D458A8"/>
    <w:rsid w:val="00D46DE4"/>
    <w:rsid w:val="00D551B1"/>
    <w:rsid w:val="00D56C80"/>
    <w:rsid w:val="00D64B08"/>
    <w:rsid w:val="00D65117"/>
    <w:rsid w:val="00D7527E"/>
    <w:rsid w:val="00D770B4"/>
    <w:rsid w:val="00D7743C"/>
    <w:rsid w:val="00D84B6F"/>
    <w:rsid w:val="00D86CA2"/>
    <w:rsid w:val="00D926E0"/>
    <w:rsid w:val="00D94C64"/>
    <w:rsid w:val="00DA0F4B"/>
    <w:rsid w:val="00DA386B"/>
    <w:rsid w:val="00DB1CF5"/>
    <w:rsid w:val="00DB6442"/>
    <w:rsid w:val="00DB7FE0"/>
    <w:rsid w:val="00DC2705"/>
    <w:rsid w:val="00DC3AB3"/>
    <w:rsid w:val="00DD106E"/>
    <w:rsid w:val="00DD1841"/>
    <w:rsid w:val="00DD379D"/>
    <w:rsid w:val="00DD4032"/>
    <w:rsid w:val="00DD781D"/>
    <w:rsid w:val="00DE0500"/>
    <w:rsid w:val="00DE1C8F"/>
    <w:rsid w:val="00DF3670"/>
    <w:rsid w:val="00DF412A"/>
    <w:rsid w:val="00E0099E"/>
    <w:rsid w:val="00E033E9"/>
    <w:rsid w:val="00E04ECC"/>
    <w:rsid w:val="00E341B2"/>
    <w:rsid w:val="00E343A6"/>
    <w:rsid w:val="00E34E08"/>
    <w:rsid w:val="00E40568"/>
    <w:rsid w:val="00E41273"/>
    <w:rsid w:val="00E43293"/>
    <w:rsid w:val="00E4747A"/>
    <w:rsid w:val="00E50C86"/>
    <w:rsid w:val="00E51923"/>
    <w:rsid w:val="00E54DBE"/>
    <w:rsid w:val="00E55327"/>
    <w:rsid w:val="00E55395"/>
    <w:rsid w:val="00E610A8"/>
    <w:rsid w:val="00E6450F"/>
    <w:rsid w:val="00E654BF"/>
    <w:rsid w:val="00E73DC9"/>
    <w:rsid w:val="00E814B5"/>
    <w:rsid w:val="00E82254"/>
    <w:rsid w:val="00E84D40"/>
    <w:rsid w:val="00E8689B"/>
    <w:rsid w:val="00E91DA2"/>
    <w:rsid w:val="00E926C9"/>
    <w:rsid w:val="00E9388D"/>
    <w:rsid w:val="00E95158"/>
    <w:rsid w:val="00E956F7"/>
    <w:rsid w:val="00EA3E65"/>
    <w:rsid w:val="00EA69C9"/>
    <w:rsid w:val="00EA6A76"/>
    <w:rsid w:val="00EB0293"/>
    <w:rsid w:val="00EB60E9"/>
    <w:rsid w:val="00EC1B8E"/>
    <w:rsid w:val="00EC1DE1"/>
    <w:rsid w:val="00EC3610"/>
    <w:rsid w:val="00EC4129"/>
    <w:rsid w:val="00EC7495"/>
    <w:rsid w:val="00ED05A3"/>
    <w:rsid w:val="00ED1B00"/>
    <w:rsid w:val="00ED2245"/>
    <w:rsid w:val="00ED2DAF"/>
    <w:rsid w:val="00ED5361"/>
    <w:rsid w:val="00ED6ADB"/>
    <w:rsid w:val="00EE2047"/>
    <w:rsid w:val="00EE4D53"/>
    <w:rsid w:val="00EE73E1"/>
    <w:rsid w:val="00EF166D"/>
    <w:rsid w:val="00EF6963"/>
    <w:rsid w:val="00F01BA6"/>
    <w:rsid w:val="00F04DE7"/>
    <w:rsid w:val="00F21E47"/>
    <w:rsid w:val="00F21EEA"/>
    <w:rsid w:val="00F23E0F"/>
    <w:rsid w:val="00F30FB1"/>
    <w:rsid w:val="00F34F98"/>
    <w:rsid w:val="00F3597F"/>
    <w:rsid w:val="00F40A48"/>
    <w:rsid w:val="00F43F83"/>
    <w:rsid w:val="00F47ED3"/>
    <w:rsid w:val="00F54AA7"/>
    <w:rsid w:val="00F576EF"/>
    <w:rsid w:val="00F62CEF"/>
    <w:rsid w:val="00F63408"/>
    <w:rsid w:val="00F7021C"/>
    <w:rsid w:val="00F737CC"/>
    <w:rsid w:val="00F754BB"/>
    <w:rsid w:val="00F76FF5"/>
    <w:rsid w:val="00F7761F"/>
    <w:rsid w:val="00F91389"/>
    <w:rsid w:val="00F923FF"/>
    <w:rsid w:val="00F93C95"/>
    <w:rsid w:val="00F956F6"/>
    <w:rsid w:val="00F96D37"/>
    <w:rsid w:val="00FB215E"/>
    <w:rsid w:val="00FB4AF9"/>
    <w:rsid w:val="00FB77CD"/>
    <w:rsid w:val="00FC165C"/>
    <w:rsid w:val="00FC6BC3"/>
    <w:rsid w:val="00FD0096"/>
    <w:rsid w:val="00FD4074"/>
    <w:rsid w:val="00FE1717"/>
    <w:rsid w:val="00FE35B3"/>
    <w:rsid w:val="00FF0427"/>
    <w:rsid w:val="00FF13D2"/>
    <w:rsid w:val="00FF16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estonormale">
    <w:name w:val="Plain Text"/>
    <w:basedOn w:val="Normale"/>
    <w:link w:val="TestonormaleCarattere"/>
    <w:rsid w:val="00774268"/>
    <w:pPr>
      <w:autoSpaceDE w:val="0"/>
      <w:autoSpaceDN w:val="0"/>
    </w:pPr>
    <w:rPr>
      <w:rFonts w:ascii="Courier New" w:hAnsi="Courier New" w:cs="Courier New"/>
      <w:sz w:val="20"/>
      <w:szCs w:val="20"/>
    </w:rPr>
  </w:style>
  <w:style w:type="character" w:customStyle="1" w:styleId="TestonormaleCarattere">
    <w:name w:val="Testo normale Carattere"/>
    <w:basedOn w:val="Carpredefinitoparagrafo"/>
    <w:link w:val="Testonormale"/>
    <w:rsid w:val="00774268"/>
    <w:rPr>
      <w:rFonts w:ascii="Courier New" w:hAnsi="Courier New" w:cs="Courier New"/>
    </w:rPr>
  </w:style>
  <w:style w:type="paragraph" w:customStyle="1" w:styleId="Default">
    <w:name w:val="Default"/>
    <w:rsid w:val="00CC7671"/>
    <w:pPr>
      <w:autoSpaceDE w:val="0"/>
      <w:autoSpaceDN w:val="0"/>
      <w:adjustRightInd w:val="0"/>
    </w:pPr>
    <w:rPr>
      <w:rFonts w:eastAsiaTheme="minorEastAsia"/>
      <w:color w:val="000000"/>
      <w:sz w:val="24"/>
      <w:szCs w:val="24"/>
      <w:lang w:eastAsia="en-US"/>
    </w:rPr>
  </w:style>
  <w:style w:type="character" w:styleId="Enfasigrassetto">
    <w:name w:val="Strong"/>
    <w:basedOn w:val="Carpredefinitoparagrafo"/>
    <w:uiPriority w:val="22"/>
    <w:qFormat/>
    <w:rsid w:val="00CC767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estonormale">
    <w:name w:val="Plain Text"/>
    <w:basedOn w:val="Normale"/>
    <w:link w:val="TestonormaleCarattere"/>
    <w:rsid w:val="00774268"/>
    <w:pPr>
      <w:autoSpaceDE w:val="0"/>
      <w:autoSpaceDN w:val="0"/>
    </w:pPr>
    <w:rPr>
      <w:rFonts w:ascii="Courier New" w:hAnsi="Courier New" w:cs="Courier New"/>
      <w:sz w:val="20"/>
      <w:szCs w:val="20"/>
    </w:rPr>
  </w:style>
  <w:style w:type="character" w:customStyle="1" w:styleId="TestonormaleCarattere">
    <w:name w:val="Testo normale Carattere"/>
    <w:basedOn w:val="Carpredefinitoparagrafo"/>
    <w:link w:val="Testonormale"/>
    <w:rsid w:val="00774268"/>
    <w:rPr>
      <w:rFonts w:ascii="Courier New" w:hAnsi="Courier New" w:cs="Courier New"/>
    </w:rPr>
  </w:style>
  <w:style w:type="paragraph" w:customStyle="1" w:styleId="Default">
    <w:name w:val="Default"/>
    <w:rsid w:val="00CC7671"/>
    <w:pPr>
      <w:autoSpaceDE w:val="0"/>
      <w:autoSpaceDN w:val="0"/>
      <w:adjustRightInd w:val="0"/>
    </w:pPr>
    <w:rPr>
      <w:rFonts w:eastAsiaTheme="minorEastAsia"/>
      <w:color w:val="000000"/>
      <w:sz w:val="24"/>
      <w:szCs w:val="24"/>
      <w:lang w:eastAsia="en-US"/>
    </w:rPr>
  </w:style>
  <w:style w:type="character" w:styleId="Enfasigrassetto">
    <w:name w:val="Strong"/>
    <w:basedOn w:val="Carpredefinitoparagrafo"/>
    <w:uiPriority w:val="22"/>
    <w:qFormat/>
    <w:rsid w:val="00CC7671"/>
    <w:rPr>
      <w:rFonts w:cs="Times New Roman"/>
      <w:b/>
      <w:bCs/>
    </w:rPr>
  </w:style>
</w:styles>
</file>

<file path=word/webSettings.xml><?xml version="1.0" encoding="utf-8"?>
<w:webSettings xmlns:r="http://schemas.openxmlformats.org/officeDocument/2006/relationships" xmlns:w="http://schemas.openxmlformats.org/wordprocessingml/2006/main">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969944446">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F17B-AEBD-43C2-8507-7AB5EA4D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1176</Words>
  <Characters>6708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Administrator</cp:lastModifiedBy>
  <cp:revision>7</cp:revision>
  <cp:lastPrinted>2014-09-11T10:15:00Z</cp:lastPrinted>
  <dcterms:created xsi:type="dcterms:W3CDTF">2017-03-15T08:11:00Z</dcterms:created>
  <dcterms:modified xsi:type="dcterms:W3CDTF">2017-03-17T12:35:00Z</dcterms:modified>
</cp:coreProperties>
</file>